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0A3C53">
        <w:tc>
          <w:tcPr>
            <w:tcW w:w="3299" w:type="dxa"/>
            <w:shd w:val="clear" w:color="auto" w:fill="auto"/>
          </w:tcPr>
          <w:p w:rsidR="000A3C53" w:rsidRDefault="00EB7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письму</w:t>
            </w:r>
          </w:p>
          <w:p w:rsidR="000A3C53" w:rsidRDefault="00EB7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 №_______</w:t>
            </w:r>
          </w:p>
          <w:p w:rsidR="000A3C53" w:rsidRDefault="000A3C53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:rsidR="000A3C53" w:rsidRDefault="00EB7405">
      <w:pPr>
        <w:jc w:val="both"/>
        <w:rPr>
          <w:sz w:val="24"/>
          <w:szCs w:val="24"/>
        </w:rPr>
      </w:pPr>
      <w:r>
        <w:rPr>
          <w:color w:val="FFFFFF"/>
          <w:sz w:val="24"/>
          <w:szCs w:val="24"/>
        </w:rPr>
        <w:t>-913/</w:t>
      </w:r>
    </w:p>
    <w:p w:rsidR="000A3C53" w:rsidRDefault="000A3C53">
      <w:pPr>
        <w:ind w:left="4500" w:right="-505"/>
        <w:jc w:val="both"/>
        <w:rPr>
          <w:b/>
          <w:sz w:val="22"/>
          <w:szCs w:val="22"/>
        </w:rPr>
      </w:pPr>
    </w:p>
    <w:p w:rsidR="000A3C53" w:rsidRDefault="00EB74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выполнении мероприятий «дорожной карты» по содействию развитию конкуренции в Нижегородской области</w:t>
      </w:r>
    </w:p>
    <w:p w:rsidR="000A3C53" w:rsidRDefault="00EB74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(за январь–декабрь 2025 года)</w:t>
      </w:r>
    </w:p>
    <w:p w:rsidR="000A3C53" w:rsidRDefault="000A3C53">
      <w:pPr>
        <w:rPr>
          <w:b/>
          <w:sz w:val="24"/>
          <w:szCs w:val="24"/>
        </w:rPr>
      </w:pPr>
    </w:p>
    <w:p w:rsidR="000A3C53" w:rsidRDefault="00EB7405">
      <w:pPr>
        <w:pBdr>
          <w:bottom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191643">
        <w:rPr>
          <w:color w:val="000000"/>
          <w:sz w:val="24"/>
          <w:szCs w:val="24"/>
        </w:rPr>
        <w:t xml:space="preserve"> Администрация города Дзержинска</w:t>
      </w:r>
    </w:p>
    <w:p w:rsidR="000A3C53" w:rsidRDefault="00EB7405">
      <w:pPr>
        <w:rPr>
          <w:b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Период отчетности: январь–декабрь 2025 года</w:t>
      </w:r>
    </w:p>
    <w:p w:rsidR="000A3C53" w:rsidRDefault="00963F7B" w:rsidP="00963F7B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tbl>
      <w:tblPr>
        <w:tblStyle w:val="af7"/>
        <w:tblW w:w="15877" w:type="dxa"/>
        <w:tblInd w:w="-714" w:type="dxa"/>
        <w:tblLook w:val="04A0" w:firstRow="1" w:lastRow="0" w:firstColumn="1" w:lastColumn="0" w:noHBand="0" w:noVBand="1"/>
      </w:tblPr>
      <w:tblGrid>
        <w:gridCol w:w="1119"/>
        <w:gridCol w:w="3874"/>
        <w:gridCol w:w="4126"/>
        <w:gridCol w:w="3114"/>
        <w:gridCol w:w="1737"/>
        <w:gridCol w:w="1907"/>
      </w:tblGrid>
      <w:tr w:rsidR="00E077B0" w:rsidTr="001E7CF2">
        <w:trPr>
          <w:cantSplit/>
          <w:trHeight w:val="1134"/>
        </w:trPr>
        <w:tc>
          <w:tcPr>
            <w:tcW w:w="1119" w:type="dxa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  <w:r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3874" w:type="dxa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126" w:type="dxa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01.01.2026 (у</w:t>
            </w:r>
            <w:r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114" w:type="dxa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1737" w:type="dxa"/>
            <w:textDirection w:val="btLr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907" w:type="dxa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>
              <w:rPr>
                <w:b/>
                <w:sz w:val="22"/>
                <w:szCs w:val="22"/>
              </w:rPr>
              <w:t>за январь–декабрь 2025 года</w:t>
            </w:r>
          </w:p>
        </w:tc>
      </w:tr>
      <w:tr w:rsidR="00577793" w:rsidTr="00577793">
        <w:trPr>
          <w:cantSplit/>
          <w:trHeight w:val="417"/>
          <w:tblHeader/>
        </w:trPr>
        <w:tc>
          <w:tcPr>
            <w:tcW w:w="1119" w:type="dxa"/>
            <w:vAlign w:val="center"/>
          </w:tcPr>
          <w:p w:rsidR="00577793" w:rsidRPr="00963F7B" w:rsidRDefault="005777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58" w:type="dxa"/>
            <w:gridSpan w:val="5"/>
            <w:vAlign w:val="center"/>
          </w:tcPr>
          <w:p w:rsidR="00577793" w:rsidRDefault="00577793" w:rsidP="0057779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345CC1" w:rsidRPr="00345CC1" w:rsidTr="00345CC1">
        <w:tc>
          <w:tcPr>
            <w:tcW w:w="1119" w:type="dxa"/>
            <w:shd w:val="clear" w:color="auto" w:fill="auto"/>
            <w:vAlign w:val="center"/>
          </w:tcPr>
          <w:p w:rsidR="005756E0" w:rsidRPr="00345CC1" w:rsidRDefault="005756E0" w:rsidP="005756E0">
            <w:pPr>
              <w:jc w:val="center"/>
              <w:rPr>
                <w:sz w:val="22"/>
                <w:szCs w:val="22"/>
              </w:rPr>
            </w:pPr>
            <w:r w:rsidRPr="00345CC1">
              <w:rPr>
                <w:sz w:val="22"/>
                <w:szCs w:val="22"/>
              </w:rPr>
              <w:t>1.1.1.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5756E0" w:rsidRPr="00345CC1" w:rsidRDefault="005756E0" w:rsidP="005756E0">
            <w:pPr>
              <w:jc w:val="both"/>
              <w:rPr>
                <w:sz w:val="22"/>
                <w:szCs w:val="22"/>
              </w:rPr>
            </w:pPr>
            <w:r w:rsidRPr="00345CC1">
              <w:rPr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6E0" w:rsidRPr="00345CC1" w:rsidRDefault="00BB61C0" w:rsidP="005756E0">
            <w:pPr>
              <w:jc w:val="both"/>
              <w:rPr>
                <w:iCs/>
                <w:sz w:val="22"/>
              </w:rPr>
            </w:pPr>
            <w:r w:rsidRPr="00345CC1">
              <w:rPr>
                <w:iCs/>
                <w:sz w:val="22"/>
              </w:rPr>
              <w:t>Консультации предоставляются на постоянной основе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5756E0" w:rsidRPr="00345CC1" w:rsidRDefault="005756E0" w:rsidP="005756E0">
            <w:pPr>
              <w:jc w:val="both"/>
              <w:rPr>
                <w:sz w:val="22"/>
                <w:szCs w:val="22"/>
              </w:rPr>
            </w:pPr>
            <w:r w:rsidRPr="00345CC1">
              <w:rPr>
                <w:sz w:val="22"/>
                <w:szCs w:val="22"/>
              </w:rPr>
              <w:t xml:space="preserve">Количество субъектов МСП, а также резидентов </w:t>
            </w:r>
            <w:proofErr w:type="spellStart"/>
            <w:proofErr w:type="gramStart"/>
            <w:r w:rsidRPr="00345CC1">
              <w:rPr>
                <w:sz w:val="22"/>
                <w:szCs w:val="22"/>
              </w:rPr>
              <w:t>промышлен</w:t>
            </w:r>
            <w:r w:rsidR="00F72AC5">
              <w:rPr>
                <w:sz w:val="22"/>
                <w:szCs w:val="22"/>
              </w:rPr>
              <w:t>-</w:t>
            </w:r>
            <w:r w:rsidRPr="00345CC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345CC1">
              <w:rPr>
                <w:sz w:val="22"/>
                <w:szCs w:val="22"/>
              </w:rPr>
              <w:t xml:space="preserve"> парков, технопарков, получивших комплексные услуги на единой площадке региональной </w:t>
            </w:r>
            <w:proofErr w:type="spellStart"/>
            <w:r w:rsidRPr="00345CC1">
              <w:rPr>
                <w:sz w:val="22"/>
                <w:szCs w:val="22"/>
              </w:rPr>
              <w:t>инфраструкту</w:t>
            </w:r>
            <w:r w:rsidR="00F72AC5">
              <w:rPr>
                <w:sz w:val="22"/>
                <w:szCs w:val="22"/>
              </w:rPr>
              <w:t>-</w:t>
            </w:r>
            <w:r w:rsidRPr="00345CC1">
              <w:rPr>
                <w:sz w:val="22"/>
                <w:szCs w:val="22"/>
              </w:rPr>
              <w:t>ры</w:t>
            </w:r>
            <w:proofErr w:type="spellEnd"/>
            <w:r w:rsidRPr="00345CC1">
              <w:rPr>
                <w:sz w:val="22"/>
                <w:szCs w:val="22"/>
              </w:rPr>
              <w:t xml:space="preserve"> поддержки бизнеса по единым требованиям к оказанию поддержки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756E0" w:rsidRPr="00345CC1" w:rsidRDefault="005756E0" w:rsidP="005756E0">
            <w:pPr>
              <w:jc w:val="center"/>
              <w:rPr>
                <w:sz w:val="22"/>
                <w:szCs w:val="22"/>
              </w:rPr>
            </w:pPr>
            <w:proofErr w:type="spellStart"/>
            <w:r w:rsidRPr="00345CC1">
              <w:rPr>
                <w:sz w:val="22"/>
                <w:szCs w:val="22"/>
              </w:rPr>
              <w:t>тыс.ед</w:t>
            </w:r>
            <w:proofErr w:type="spellEnd"/>
            <w:r w:rsidRPr="00345CC1">
              <w:rPr>
                <w:sz w:val="22"/>
                <w:szCs w:val="22"/>
              </w:rPr>
              <w:t>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5756E0" w:rsidRPr="00345CC1" w:rsidRDefault="00345CC1" w:rsidP="005756E0">
            <w:pPr>
              <w:jc w:val="center"/>
              <w:rPr>
                <w:sz w:val="22"/>
                <w:szCs w:val="22"/>
                <w:highlight w:val="yellow"/>
              </w:rPr>
            </w:pPr>
            <w:r w:rsidRPr="00345CC1">
              <w:rPr>
                <w:iCs/>
                <w:sz w:val="22"/>
                <w:szCs w:val="22"/>
              </w:rPr>
              <w:t>1,65</w:t>
            </w: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Pr="00D4197A" w:rsidRDefault="00BB61C0" w:rsidP="00D4197A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В течение 2025 года ликвидировано </w:t>
            </w:r>
            <w:r w:rsidR="00D4197A" w:rsidRPr="00D4197A">
              <w:rPr>
                <w:sz w:val="22"/>
              </w:rPr>
              <w:t xml:space="preserve">1 </w:t>
            </w:r>
            <w:r w:rsidR="00552CA0">
              <w:rPr>
                <w:sz w:val="22"/>
              </w:rPr>
              <w:t>муниципальное унитарное предприятие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56E0" w:rsidTr="00426123">
        <w:trPr>
          <w:cantSplit/>
        </w:trPr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1.4.10.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1C0" w:rsidRPr="00BB61C0" w:rsidRDefault="00BB61C0" w:rsidP="00BB61C0">
            <w:pPr>
              <w:jc w:val="both"/>
              <w:rPr>
                <w:iCs/>
                <w:sz w:val="22"/>
              </w:rPr>
            </w:pPr>
            <w:r w:rsidRPr="00BB61C0">
              <w:rPr>
                <w:iCs/>
                <w:sz w:val="22"/>
              </w:rPr>
              <w:t>В соответствии с п.3.8 Положения о порядке и условиях приватизации</w:t>
            </w:r>
          </w:p>
          <w:p w:rsidR="00BB61C0" w:rsidRPr="00BB61C0" w:rsidRDefault="00F72AC5" w:rsidP="00BB61C0">
            <w:pPr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>муници</w:t>
            </w:r>
            <w:r w:rsidR="00BB61C0" w:rsidRPr="00BB61C0">
              <w:rPr>
                <w:iCs/>
                <w:sz w:val="22"/>
              </w:rPr>
              <w:t xml:space="preserve">пального имущества города Дзержинска, утвержденного </w:t>
            </w:r>
            <w:proofErr w:type="gramStart"/>
            <w:r w:rsidR="00BB61C0" w:rsidRPr="00BB61C0">
              <w:rPr>
                <w:iCs/>
                <w:sz w:val="22"/>
              </w:rPr>
              <w:t>поста-</w:t>
            </w:r>
            <w:proofErr w:type="spellStart"/>
            <w:r w:rsidR="00BB61C0" w:rsidRPr="00BB61C0">
              <w:rPr>
                <w:iCs/>
                <w:sz w:val="22"/>
              </w:rPr>
              <w:t>новлением</w:t>
            </w:r>
            <w:proofErr w:type="spellEnd"/>
            <w:proofErr w:type="gramEnd"/>
            <w:r w:rsidR="00BB61C0" w:rsidRPr="00BB61C0">
              <w:rPr>
                <w:iCs/>
                <w:sz w:val="22"/>
              </w:rPr>
              <w:t xml:space="preserve"> городской Думы от 12 марта 2003 года № 405, срок предоставления отчета об исполнении плана (программы) приватизации муниципального имущества за 202</w:t>
            </w:r>
            <w:r w:rsidR="00BB61C0">
              <w:rPr>
                <w:iCs/>
                <w:sz w:val="22"/>
              </w:rPr>
              <w:t>5</w:t>
            </w:r>
            <w:r w:rsidR="00BB61C0" w:rsidRPr="00BB61C0">
              <w:rPr>
                <w:iCs/>
                <w:sz w:val="22"/>
              </w:rPr>
              <w:t xml:space="preserve"> год — 1 апреля 202</w:t>
            </w:r>
            <w:r w:rsidR="00BB61C0">
              <w:rPr>
                <w:iCs/>
                <w:sz w:val="22"/>
              </w:rPr>
              <w:t>6</w:t>
            </w:r>
            <w:r w:rsidR="00BB61C0" w:rsidRPr="00BB61C0">
              <w:rPr>
                <w:iCs/>
                <w:sz w:val="22"/>
              </w:rPr>
              <w:t xml:space="preserve"> г</w:t>
            </w:r>
            <w:r>
              <w:rPr>
                <w:iCs/>
                <w:sz w:val="22"/>
              </w:rPr>
              <w:t>.</w:t>
            </w:r>
          </w:p>
          <w:p w:rsidR="005756E0" w:rsidRDefault="00BB61C0" w:rsidP="00BB61C0">
            <w:pPr>
              <w:jc w:val="both"/>
              <w:rPr>
                <w:iCs/>
                <w:color w:val="7030A0"/>
                <w:sz w:val="22"/>
              </w:rPr>
            </w:pPr>
            <w:r w:rsidRPr="00BB61C0">
              <w:rPr>
                <w:iCs/>
                <w:sz w:val="22"/>
              </w:rPr>
              <w:t xml:space="preserve">Прогнозный план приватизации на </w:t>
            </w:r>
            <w:r>
              <w:rPr>
                <w:iCs/>
                <w:sz w:val="22"/>
              </w:rPr>
              <w:t xml:space="preserve">                      </w:t>
            </w:r>
            <w:r w:rsidRPr="00BB61C0">
              <w:rPr>
                <w:iCs/>
                <w:sz w:val="22"/>
              </w:rPr>
              <w:t>202</w:t>
            </w:r>
            <w:r>
              <w:rPr>
                <w:iCs/>
                <w:sz w:val="22"/>
              </w:rPr>
              <w:t>6</w:t>
            </w:r>
            <w:r w:rsidRPr="00BB61C0">
              <w:rPr>
                <w:iCs/>
                <w:sz w:val="22"/>
              </w:rPr>
              <w:t>-202</w:t>
            </w:r>
            <w:r>
              <w:rPr>
                <w:iCs/>
                <w:sz w:val="22"/>
              </w:rPr>
              <w:t>8</w:t>
            </w:r>
            <w:r w:rsidRPr="00BB61C0">
              <w:rPr>
                <w:iCs/>
                <w:sz w:val="22"/>
              </w:rPr>
              <w:t xml:space="preserve">гг: </w:t>
            </w:r>
            <w:r w:rsidR="00345CC1" w:rsidRPr="00345CC1">
              <w:rPr>
                <w:iCs/>
                <w:sz w:val="22"/>
              </w:rPr>
              <w:t>https://адмдзержинск.рф/ekonomika-i-imushchestvo/munitsipalnoe-imushchestvo/dokumenty/normativno-pravovye-akty-za-2025-god/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Отчеты об итогах исполнения планов приватизации, в соответствии с Правилами разработки прогнозных планов (программ) </w:t>
            </w:r>
            <w:proofErr w:type="spellStart"/>
            <w:proofErr w:type="gramStart"/>
            <w:r>
              <w:rPr>
                <w:sz w:val="22"/>
                <w:szCs w:val="22"/>
              </w:rPr>
              <w:t>привати</w:t>
            </w:r>
            <w:r w:rsidR="00F72A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государственного и муниципального имущества, утвержденными </w:t>
            </w:r>
            <w:proofErr w:type="spellStart"/>
            <w:r>
              <w:rPr>
                <w:sz w:val="22"/>
                <w:szCs w:val="22"/>
              </w:rPr>
              <w:t>постановле</w:t>
            </w:r>
            <w:r w:rsidR="00F72AC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нием</w:t>
            </w:r>
            <w:proofErr w:type="spellEnd"/>
            <w:r>
              <w:rPr>
                <w:sz w:val="22"/>
                <w:szCs w:val="22"/>
              </w:rPr>
              <w:t xml:space="preserve"> Правительства Российской Федерации от 26 декабря 2005 г. № 806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907" w:type="dxa"/>
            <w:vAlign w:val="center"/>
          </w:tcPr>
          <w:p w:rsidR="005756E0" w:rsidRDefault="00EB23AF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77B0" w:rsidTr="002800F9">
        <w:tc>
          <w:tcPr>
            <w:tcW w:w="1119" w:type="dxa"/>
            <w:shd w:val="clear" w:color="auto" w:fill="auto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E077B0" w:rsidRDefault="00E077B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E077B0" w:rsidRPr="00BD168B" w:rsidRDefault="00BB61C0">
            <w:pPr>
              <w:jc w:val="both"/>
              <w:rPr>
                <w:iCs/>
                <w:color w:val="7030A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</w:t>
            </w:r>
            <w:r w:rsidR="00D4197A" w:rsidRPr="00D4197A">
              <w:rPr>
                <w:iCs/>
                <w:sz w:val="22"/>
                <w:szCs w:val="22"/>
              </w:rPr>
              <w:t>убличные торги (конкурентные процедуры)</w:t>
            </w:r>
            <w:r w:rsidRPr="00D4197A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в 2025 году не</w:t>
            </w:r>
            <w:r w:rsidRPr="00D4197A">
              <w:rPr>
                <w:iCs/>
                <w:sz w:val="22"/>
                <w:szCs w:val="22"/>
              </w:rPr>
              <w:t xml:space="preserve"> проводились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E077B0" w:rsidRDefault="00E07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 w:rsidRPr="00CA0E7B">
              <w:rPr>
                <w:sz w:val="22"/>
                <w:szCs w:val="22"/>
              </w:rPr>
              <w:t>По итогам года</w:t>
            </w:r>
          </w:p>
        </w:tc>
      </w:tr>
      <w:tr w:rsidR="00E077B0" w:rsidTr="002800F9">
        <w:tc>
          <w:tcPr>
            <w:tcW w:w="1119" w:type="dxa"/>
            <w:vAlign w:val="center"/>
          </w:tcPr>
          <w:p w:rsidR="00E077B0" w:rsidRDefault="00E077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874" w:type="dxa"/>
          </w:tcPr>
          <w:p w:rsidR="00E077B0" w:rsidRPr="00CA0E7B" w:rsidRDefault="00E077B0">
            <w:pPr>
              <w:jc w:val="both"/>
              <w:rPr>
                <w:sz w:val="22"/>
                <w:szCs w:val="22"/>
              </w:rPr>
            </w:pPr>
            <w:r w:rsidRPr="00CA0E7B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</w:t>
            </w:r>
            <w:r w:rsidRPr="00CA0E7B">
              <w:rPr>
                <w:sz w:val="22"/>
                <w:szCs w:val="22"/>
              </w:rPr>
              <w:lastRenderedPageBreak/>
              <w:t>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4126" w:type="dxa"/>
            <w:vAlign w:val="center"/>
          </w:tcPr>
          <w:p w:rsidR="00E077B0" w:rsidRPr="00CA0E7B" w:rsidRDefault="00D4197A">
            <w:pPr>
              <w:jc w:val="both"/>
              <w:rPr>
                <w:sz w:val="22"/>
                <w:szCs w:val="22"/>
              </w:rPr>
            </w:pPr>
            <w:r w:rsidRPr="00D4197A">
              <w:rPr>
                <w:sz w:val="22"/>
                <w:szCs w:val="22"/>
              </w:rPr>
              <w:lastRenderedPageBreak/>
              <w:t>Муниципальные объекты недвижимого имущества используются по назначению</w:t>
            </w:r>
          </w:p>
        </w:tc>
        <w:tc>
          <w:tcPr>
            <w:tcW w:w="3114" w:type="dxa"/>
            <w:vAlign w:val="center"/>
          </w:tcPr>
          <w:p w:rsidR="00E077B0" w:rsidRPr="00CA0E7B" w:rsidRDefault="00E077B0">
            <w:pPr>
              <w:jc w:val="both"/>
              <w:rPr>
                <w:sz w:val="22"/>
                <w:szCs w:val="22"/>
              </w:rPr>
            </w:pPr>
            <w:r w:rsidRPr="00CA0E7B">
              <w:rPr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1737" w:type="dxa"/>
            <w:vAlign w:val="center"/>
          </w:tcPr>
          <w:p w:rsidR="00E077B0" w:rsidRPr="00CA0E7B" w:rsidRDefault="00E077B0">
            <w:pPr>
              <w:jc w:val="center"/>
              <w:rPr>
                <w:sz w:val="22"/>
                <w:szCs w:val="22"/>
              </w:rPr>
            </w:pPr>
            <w:r w:rsidRPr="00CA0E7B">
              <w:rPr>
                <w:sz w:val="22"/>
                <w:szCs w:val="22"/>
              </w:rPr>
              <w:t>%</w:t>
            </w:r>
          </w:p>
        </w:tc>
        <w:tc>
          <w:tcPr>
            <w:tcW w:w="1907" w:type="dxa"/>
            <w:vAlign w:val="center"/>
          </w:tcPr>
          <w:p w:rsidR="00E077B0" w:rsidRPr="00CA0E7B" w:rsidRDefault="00FF6E1B">
            <w:pPr>
              <w:jc w:val="center"/>
              <w:rPr>
                <w:sz w:val="22"/>
                <w:szCs w:val="22"/>
              </w:rPr>
            </w:pPr>
            <w:r w:rsidRPr="00F462E1">
              <w:rPr>
                <w:iCs/>
                <w:sz w:val="22"/>
                <w:szCs w:val="22"/>
              </w:rPr>
              <w:t>100</w:t>
            </w:r>
          </w:p>
        </w:tc>
      </w:tr>
      <w:tr w:rsidR="00E077B0" w:rsidTr="0061433C">
        <w:tc>
          <w:tcPr>
            <w:tcW w:w="1119" w:type="dxa"/>
            <w:shd w:val="clear" w:color="auto" w:fill="auto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 w:rsidRPr="0061433C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E077B0" w:rsidRDefault="00E077B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информационных технологий,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регио</w:t>
            </w:r>
            <w:r w:rsidR="00F72AC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нального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фестиваля «</w:t>
            </w:r>
            <w:proofErr w:type="spellStart"/>
            <w:r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61433C" w:rsidRPr="0061433C" w:rsidRDefault="0061433C" w:rsidP="0061433C">
            <w:pPr>
              <w:jc w:val="both"/>
              <w:rPr>
                <w:iCs/>
                <w:sz w:val="22"/>
                <w:szCs w:val="22"/>
              </w:rPr>
            </w:pPr>
            <w:r w:rsidRPr="0061433C">
              <w:rPr>
                <w:iCs/>
                <w:sz w:val="22"/>
                <w:szCs w:val="22"/>
              </w:rPr>
              <w:t>Количество детей и молодежи по участию в мероприятиях, направленных на развитие научно-технического творчества, - 2 471 человек.</w:t>
            </w:r>
          </w:p>
          <w:p w:rsidR="00E077B0" w:rsidRPr="00BD168B" w:rsidRDefault="0061433C" w:rsidP="0061433C">
            <w:pPr>
              <w:jc w:val="both"/>
              <w:rPr>
                <w:sz w:val="22"/>
                <w:szCs w:val="22"/>
              </w:rPr>
            </w:pPr>
            <w:r w:rsidRPr="0061433C">
              <w:rPr>
                <w:iCs/>
                <w:sz w:val="22"/>
                <w:szCs w:val="22"/>
              </w:rPr>
              <w:t>Увеличение на 84 человека по сравнению с 2024 годом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E077B0" w:rsidRDefault="00E077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E077B0" w:rsidRDefault="00E07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077B0" w:rsidRPr="0061433C" w:rsidRDefault="006143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2 471</w:t>
            </w: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both"/>
              <w:rPr>
                <w:sz w:val="22"/>
              </w:rPr>
            </w:pPr>
            <w:r>
              <w:rPr>
                <w:sz w:val="22"/>
              </w:rPr>
              <w:t>https://www.адмдзержинск.рф/ekonomika-i-imushchestvo/munitsipalnoe-imushchestvo/torgi/auktsiony/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1.11.3.</w:t>
            </w:r>
          </w:p>
        </w:tc>
        <w:tc>
          <w:tcPr>
            <w:tcW w:w="3874" w:type="dxa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345CC1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Информация о составе собственности городского округа город Дзержинск размещена в сети Интернет на официальном сайте администрации города по состоянию на 1 </w:t>
            </w:r>
            <w:r w:rsidR="00345CC1">
              <w:rPr>
                <w:color w:val="000000"/>
                <w:sz w:val="22"/>
              </w:rPr>
              <w:t xml:space="preserve">апреля и 1 </w:t>
            </w:r>
            <w:r>
              <w:rPr>
                <w:color w:val="000000"/>
                <w:sz w:val="22"/>
              </w:rPr>
              <w:t>октября 2025 года</w:t>
            </w:r>
            <w:r w:rsidR="00197287">
              <w:rPr>
                <w:color w:val="000000"/>
                <w:sz w:val="22"/>
              </w:rPr>
              <w:t xml:space="preserve">: </w:t>
            </w:r>
            <w:hyperlink r:id="rId8" w:history="1">
              <w:r w:rsidR="00197287" w:rsidRPr="00197287">
                <w:rPr>
                  <w:rStyle w:val="ab"/>
                  <w:rFonts w:eastAsia="Arial"/>
                  <w:color w:val="auto"/>
                  <w:sz w:val="22"/>
                  <w:u w:val="none"/>
                </w:rPr>
                <w:t>https://адмдзержинск.рф/ekonomika-i-imushchestvo/munitsipalnoe-imushchestvo/sostav-sobstvennosti-gorodskogo-okruga/</w:t>
              </w:r>
            </w:hyperlink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Размещение</w:t>
            </w:r>
          </w:p>
          <w:p w:rsidR="005756E0" w:rsidRDefault="005756E0" w:rsidP="005756E0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на 01.04.2025</w:t>
            </w:r>
          </w:p>
          <w:p w:rsidR="005756E0" w:rsidRDefault="005756E0" w:rsidP="005756E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на 01.10.2025</w:t>
            </w:r>
          </w:p>
        </w:tc>
      </w:tr>
      <w:tr w:rsidR="005756E0" w:rsidTr="001E7CF2">
        <w:trPr>
          <w:trHeight w:val="1481"/>
        </w:trPr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874" w:type="dxa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both"/>
              <w:rPr>
                <w:sz w:val="22"/>
              </w:rPr>
            </w:pPr>
            <w:r>
              <w:rPr>
                <w:iCs/>
                <w:sz w:val="22"/>
              </w:rPr>
              <w:t>https://адмдзержинск.рф/ekonomika-i-imushchestvo/malyy-i-sredniy-biznes/imushchestvennaya-podderzhka/imushchestvo-dlya-biznesa/perechen-imushchestva-dlya-msp/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6E0" w:rsidRDefault="005756E0" w:rsidP="005756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756E0" w:rsidTr="001E7CF2">
        <w:trPr>
          <w:trHeight w:val="2252"/>
        </w:trPr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 w:rsidRPr="00197287"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874" w:type="dxa"/>
            <w:vAlign w:val="center"/>
          </w:tcPr>
          <w:p w:rsidR="005756E0" w:rsidRPr="00197287" w:rsidRDefault="005756E0" w:rsidP="005756E0">
            <w:pPr>
              <w:jc w:val="both"/>
              <w:rPr>
                <w:sz w:val="22"/>
                <w:szCs w:val="22"/>
              </w:rPr>
            </w:pPr>
            <w:r w:rsidRPr="00197287">
              <w:rPr>
                <w:sz w:val="22"/>
                <w:szCs w:val="22"/>
              </w:rPr>
              <w:t>Подготовка предложений по расширению видов поддержки негосударственных организаций, 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126" w:type="dxa"/>
            <w:vAlign w:val="center"/>
          </w:tcPr>
          <w:p w:rsidR="005756E0" w:rsidRPr="00197287" w:rsidRDefault="00197287" w:rsidP="005756E0">
            <w:pPr>
              <w:jc w:val="both"/>
              <w:rPr>
                <w:iCs/>
                <w:sz w:val="22"/>
                <w:szCs w:val="22"/>
              </w:rPr>
            </w:pPr>
            <w:r w:rsidRPr="00197287">
              <w:rPr>
                <w:iCs/>
                <w:sz w:val="22"/>
                <w:szCs w:val="22"/>
              </w:rPr>
              <w:t>Предложения не направлялись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56E0" w:rsidTr="001E7CF2">
        <w:trPr>
          <w:trHeight w:val="1272"/>
        </w:trPr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 w:rsidRPr="00197287"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126" w:type="dxa"/>
            <w:vAlign w:val="center"/>
          </w:tcPr>
          <w:p w:rsidR="005756E0" w:rsidRPr="00BD168B" w:rsidRDefault="00197287" w:rsidP="005756E0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197287">
              <w:rPr>
                <w:iCs/>
                <w:sz w:val="22"/>
                <w:szCs w:val="22"/>
              </w:rPr>
              <w:t>Реестр не ведется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56E0" w:rsidTr="001E7CF2">
        <w:trPr>
          <w:trHeight w:val="1953"/>
        </w:trPr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 w:rsidRPr="00197287"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126" w:type="dxa"/>
            <w:vAlign w:val="center"/>
          </w:tcPr>
          <w:p w:rsidR="005756E0" w:rsidRPr="00BD168B" w:rsidRDefault="00197287" w:rsidP="005756E0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197287">
              <w:rPr>
                <w:iCs/>
                <w:sz w:val="22"/>
                <w:szCs w:val="22"/>
              </w:rPr>
              <w:t>Предложений не поступало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56E0" w:rsidTr="001E7CF2">
        <w:trPr>
          <w:trHeight w:val="1184"/>
        </w:trPr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изменений в муниципальные схемы размещения нестационарных торговых объектов (далее – НТО) (расширение перечня объектов)</w:t>
            </w:r>
          </w:p>
        </w:tc>
        <w:tc>
          <w:tcPr>
            <w:tcW w:w="4126" w:type="dxa"/>
            <w:vAlign w:val="center"/>
          </w:tcPr>
          <w:p w:rsidR="005756E0" w:rsidRPr="00BD168B" w:rsidRDefault="005756E0" w:rsidP="005756E0">
            <w:pPr>
              <w:jc w:val="both"/>
              <w:rPr>
                <w:sz w:val="22"/>
                <w:szCs w:val="22"/>
              </w:rPr>
            </w:pPr>
            <w:r w:rsidRPr="00FF2506">
              <w:rPr>
                <w:sz w:val="22"/>
                <w:szCs w:val="22"/>
              </w:rPr>
              <w:t>Дата последней актуализации схемы: 25.12.2025г., количество НТО - 310 ед.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1737" w:type="dxa"/>
            <w:vAlign w:val="center"/>
          </w:tcPr>
          <w:p w:rsidR="005756E0" w:rsidRPr="002C5D22" w:rsidRDefault="002C5D22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7" w:type="dxa"/>
            <w:vAlign w:val="center"/>
          </w:tcPr>
          <w:p w:rsidR="005756E0" w:rsidRDefault="00F16F4A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126" w:type="dxa"/>
            <w:vAlign w:val="center"/>
          </w:tcPr>
          <w:p w:rsidR="005756E0" w:rsidRPr="00BD168B" w:rsidRDefault="00345CC1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2025 году п</w:t>
            </w:r>
            <w:r w:rsidR="003A504B" w:rsidRPr="003A504B">
              <w:rPr>
                <w:sz w:val="22"/>
                <w:szCs w:val="22"/>
              </w:rPr>
              <w:t>роведено 1</w:t>
            </w:r>
            <w:r w:rsidR="003A504B">
              <w:rPr>
                <w:sz w:val="22"/>
                <w:szCs w:val="22"/>
              </w:rPr>
              <w:t>2</w:t>
            </w:r>
            <w:r w:rsidR="003A504B" w:rsidRPr="003A504B">
              <w:rPr>
                <w:sz w:val="22"/>
                <w:szCs w:val="22"/>
              </w:rPr>
              <w:t xml:space="preserve"> выставок/ярмарок</w:t>
            </w:r>
          </w:p>
        </w:tc>
        <w:tc>
          <w:tcPr>
            <w:tcW w:w="311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1737" w:type="dxa"/>
            <w:vAlign w:val="center"/>
          </w:tcPr>
          <w:p w:rsidR="005756E0" w:rsidRDefault="002C5D22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7" w:type="dxa"/>
            <w:vAlign w:val="center"/>
          </w:tcPr>
          <w:p w:rsidR="005756E0" w:rsidRDefault="00F16F4A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5756E0" w:rsidTr="002800F9">
        <w:tc>
          <w:tcPr>
            <w:tcW w:w="1119" w:type="dxa"/>
          </w:tcPr>
          <w:p w:rsidR="005756E0" w:rsidRDefault="005756E0" w:rsidP="005756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114" w:type="dxa"/>
            <w:gridSpan w:val="3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2.10.</w:t>
            </w:r>
          </w:p>
        </w:tc>
        <w:tc>
          <w:tcPr>
            <w:tcW w:w="11114" w:type="dxa"/>
            <w:gridSpan w:val="3"/>
            <w:vAlign w:val="center"/>
          </w:tcPr>
          <w:p w:rsidR="005756E0" w:rsidRDefault="005756E0" w:rsidP="005756E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1737" w:type="dxa"/>
            <w:vAlign w:val="center"/>
          </w:tcPr>
          <w:p w:rsidR="005756E0" w:rsidRDefault="005756E0" w:rsidP="005756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5756E0" w:rsidRDefault="005756E0" w:rsidP="005756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126" w:type="dxa"/>
            <w:vAlign w:val="center"/>
          </w:tcPr>
          <w:p w:rsidR="005756E0" w:rsidRPr="00E077B0" w:rsidRDefault="00F16F4A" w:rsidP="005756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Ведется р</w:t>
            </w:r>
            <w:r w:rsidR="005756E0" w:rsidRPr="00E077B0">
              <w:rPr>
                <w:sz w:val="22"/>
                <w:szCs w:val="22"/>
              </w:rPr>
              <w:t xml:space="preserve">абота по инвентаризации </w:t>
            </w:r>
            <w:r w:rsidRPr="00E077B0">
              <w:rPr>
                <w:sz w:val="22"/>
                <w:szCs w:val="22"/>
              </w:rPr>
              <w:t xml:space="preserve">кладбища в </w:t>
            </w:r>
            <w:proofErr w:type="spellStart"/>
            <w:proofErr w:type="gramStart"/>
            <w:r w:rsidRPr="00E077B0">
              <w:rPr>
                <w:sz w:val="22"/>
                <w:szCs w:val="22"/>
              </w:rPr>
              <w:t>пос.Свердлова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В </w:t>
            </w:r>
            <w:r w:rsidR="005756E0" w:rsidRPr="00E077B0">
              <w:rPr>
                <w:sz w:val="22"/>
                <w:szCs w:val="22"/>
              </w:rPr>
              <w:t>2025 году инвентаризация проведена на 39 %.</w:t>
            </w:r>
          </w:p>
        </w:tc>
        <w:tc>
          <w:tcPr>
            <w:tcW w:w="3114" w:type="dxa"/>
            <w:vAlign w:val="center"/>
          </w:tcPr>
          <w:p w:rsidR="005756E0" w:rsidRPr="00E077B0" w:rsidRDefault="005756E0" w:rsidP="005756E0">
            <w:pPr>
              <w:jc w:val="both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Постановление Правительства Нижегородской области от 14 октября 2020 г. № 846</w:t>
            </w:r>
          </w:p>
        </w:tc>
        <w:tc>
          <w:tcPr>
            <w:tcW w:w="1737" w:type="dxa"/>
            <w:vAlign w:val="center"/>
          </w:tcPr>
          <w:p w:rsidR="005756E0" w:rsidRPr="00E077B0" w:rsidRDefault="005756E0" w:rsidP="005756E0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%</w:t>
            </w:r>
          </w:p>
        </w:tc>
        <w:tc>
          <w:tcPr>
            <w:tcW w:w="1907" w:type="dxa"/>
            <w:vAlign w:val="center"/>
          </w:tcPr>
          <w:p w:rsidR="005756E0" w:rsidRPr="00E077B0" w:rsidRDefault="005756E0" w:rsidP="005756E0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39</w:t>
            </w:r>
          </w:p>
        </w:tc>
      </w:tr>
      <w:tr w:rsidR="005756E0" w:rsidTr="002800F9">
        <w:tc>
          <w:tcPr>
            <w:tcW w:w="1119" w:type="dxa"/>
            <w:vAlign w:val="center"/>
          </w:tcPr>
          <w:p w:rsidR="005756E0" w:rsidRDefault="005756E0" w:rsidP="005756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874" w:type="dxa"/>
            <w:vAlign w:val="center"/>
          </w:tcPr>
          <w:p w:rsidR="005756E0" w:rsidRDefault="005756E0" w:rsidP="005756E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126" w:type="dxa"/>
            <w:vAlign w:val="center"/>
          </w:tcPr>
          <w:p w:rsidR="005756E0" w:rsidRPr="00E077B0" w:rsidRDefault="00CC232E" w:rsidP="005756E0">
            <w:pPr>
              <w:jc w:val="both"/>
              <w:rPr>
                <w:sz w:val="22"/>
                <w:szCs w:val="22"/>
              </w:rPr>
            </w:pPr>
            <w:r w:rsidRPr="00CC232E">
              <w:rPr>
                <w:sz w:val="22"/>
                <w:szCs w:val="22"/>
              </w:rPr>
              <w:lastRenderedPageBreak/>
              <w:t>Реестр о кладбищах и местах захоронений на них ведет МКУ «Ритуал»</w:t>
            </w:r>
          </w:p>
        </w:tc>
        <w:tc>
          <w:tcPr>
            <w:tcW w:w="3114" w:type="dxa"/>
            <w:vAlign w:val="center"/>
          </w:tcPr>
          <w:p w:rsidR="005756E0" w:rsidRPr="00E077B0" w:rsidRDefault="00CC232E" w:rsidP="005756E0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8715C4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737" w:type="dxa"/>
            <w:vAlign w:val="center"/>
          </w:tcPr>
          <w:p w:rsidR="005756E0" w:rsidRPr="00E077B0" w:rsidRDefault="00CC232E" w:rsidP="0087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5756E0" w:rsidRPr="008715C4" w:rsidRDefault="008715C4" w:rsidP="00575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126" w:type="dxa"/>
            <w:vAlign w:val="center"/>
          </w:tcPr>
          <w:p w:rsidR="00CC232E" w:rsidRPr="00E077B0" w:rsidRDefault="00CC232E" w:rsidP="00CC232E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В соответствии с постановлением администрации г.Дзержинска от 25.12.2012г. №5632 ведение реестра хозяйствующих субъектов осуществляет МКУ «Ритуал».</w:t>
            </w:r>
          </w:p>
        </w:tc>
        <w:tc>
          <w:tcPr>
            <w:tcW w:w="3114" w:type="dxa"/>
            <w:vAlign w:val="center"/>
          </w:tcPr>
          <w:p w:rsidR="00CC232E" w:rsidRPr="00E077B0" w:rsidRDefault="00CC232E" w:rsidP="00CC232E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8715C4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73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126" w:type="dxa"/>
            <w:vAlign w:val="center"/>
          </w:tcPr>
          <w:p w:rsidR="00CC232E" w:rsidRPr="00E077B0" w:rsidRDefault="00CC232E" w:rsidP="00CC232E">
            <w:pPr>
              <w:jc w:val="both"/>
              <w:rPr>
                <w:iCs/>
                <w:color w:val="7030A0"/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 xml:space="preserve">Ведение реестра хозяйствующих субъектов, </w:t>
            </w:r>
            <w:r w:rsidRPr="00E077B0">
              <w:rPr>
                <w:color w:val="000000"/>
                <w:sz w:val="22"/>
                <w:szCs w:val="22"/>
              </w:rPr>
              <w:t>имеющих право на оказание услуг по организации похорон,</w:t>
            </w:r>
            <w:r w:rsidRPr="00E077B0">
              <w:rPr>
                <w:sz w:val="22"/>
                <w:szCs w:val="22"/>
              </w:rPr>
              <w:t xml:space="preserve"> осуществляет МКУ «Ритуал»</w:t>
            </w:r>
          </w:p>
        </w:tc>
        <w:tc>
          <w:tcPr>
            <w:tcW w:w="3114" w:type="dxa"/>
            <w:vAlign w:val="center"/>
          </w:tcPr>
          <w:p w:rsidR="00CC232E" w:rsidRPr="00E077B0" w:rsidRDefault="00CC232E" w:rsidP="00CC232E">
            <w:pPr>
              <w:jc w:val="both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173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2.10.6.</w:t>
            </w:r>
          </w:p>
        </w:tc>
        <w:tc>
          <w:tcPr>
            <w:tcW w:w="3874" w:type="dxa"/>
            <w:vAlign w:val="center"/>
          </w:tcPr>
          <w:p w:rsidR="00CC232E" w:rsidRPr="001E7CF2" w:rsidRDefault="00CC232E" w:rsidP="00CC232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Формирование и ведение реестра кладбищ, расположенных на территории Нижегородской области, поставленных на кадастровый учет и </w:t>
            </w:r>
            <w:r>
              <w:rPr>
                <w:color w:val="000000"/>
                <w:sz w:val="22"/>
                <w:szCs w:val="22"/>
              </w:rPr>
              <w:lastRenderedPageBreak/>
              <w:t>прошедших государственную регистрацию</w:t>
            </w:r>
          </w:p>
        </w:tc>
        <w:tc>
          <w:tcPr>
            <w:tcW w:w="4126" w:type="dxa"/>
            <w:vAlign w:val="center"/>
          </w:tcPr>
          <w:p w:rsidR="00CC232E" w:rsidRPr="00E077B0" w:rsidRDefault="00F72AC5" w:rsidP="00F72AC5">
            <w:pPr>
              <w:jc w:val="both"/>
              <w:rPr>
                <w:sz w:val="22"/>
                <w:szCs w:val="22"/>
              </w:rPr>
            </w:pPr>
            <w:r w:rsidRPr="00E077B0">
              <w:rPr>
                <w:color w:val="000000"/>
                <w:sz w:val="22"/>
                <w:szCs w:val="22"/>
              </w:rPr>
              <w:lastRenderedPageBreak/>
              <w:t xml:space="preserve">Формирование и ведение реестра кладбищ, расположенных на территории Нижегородской области, осуществляется министерством промышленности, </w:t>
            </w:r>
            <w:r w:rsidRPr="00E077B0">
              <w:rPr>
                <w:color w:val="000000"/>
                <w:sz w:val="22"/>
                <w:szCs w:val="22"/>
              </w:rPr>
              <w:lastRenderedPageBreak/>
              <w:t>торговли и предпринимательства Нижегородской области</w:t>
            </w:r>
          </w:p>
        </w:tc>
        <w:tc>
          <w:tcPr>
            <w:tcW w:w="3114" w:type="dxa"/>
            <w:vAlign w:val="center"/>
          </w:tcPr>
          <w:p w:rsidR="00CC232E" w:rsidRPr="00E077B0" w:rsidRDefault="00D3703F" w:rsidP="00CC232E">
            <w:pPr>
              <w:jc w:val="both"/>
              <w:rPr>
                <w:sz w:val="22"/>
                <w:szCs w:val="22"/>
              </w:rPr>
            </w:pPr>
            <w:r w:rsidRPr="00D3703F">
              <w:rPr>
                <w:sz w:val="22"/>
                <w:szCs w:val="22"/>
              </w:rPr>
              <w:lastRenderedPageBreak/>
              <w:t>Постановление Правительства Нижегородской области от 13 февраля 2009 г. № 56</w:t>
            </w:r>
          </w:p>
        </w:tc>
        <w:tc>
          <w:tcPr>
            <w:tcW w:w="1737" w:type="dxa"/>
            <w:vAlign w:val="center"/>
          </w:tcPr>
          <w:p w:rsidR="00CC232E" w:rsidRPr="00E077B0" w:rsidRDefault="00D3703F" w:rsidP="00D37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-</w:t>
            </w:r>
          </w:p>
        </w:tc>
      </w:tr>
      <w:tr w:rsidR="00CC232E" w:rsidTr="0060165B">
        <w:tc>
          <w:tcPr>
            <w:tcW w:w="1119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center"/>
              <w:rPr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>2.13.4.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both"/>
              <w:rPr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126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rPr>
                <w:sz w:val="22"/>
                <w:szCs w:val="22"/>
              </w:rPr>
            </w:pPr>
            <w:r w:rsidRPr="001F2D05">
              <w:rPr>
                <w:iCs/>
                <w:sz w:val="22"/>
                <w:szCs w:val="22"/>
              </w:rPr>
              <w:t>Проведен 21 опрос населения</w:t>
            </w: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both"/>
              <w:rPr>
                <w:sz w:val="22"/>
                <w:szCs w:val="22"/>
              </w:rPr>
            </w:pPr>
            <w:r w:rsidRPr="001F2D05">
              <w:rPr>
                <w:color w:val="000000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center"/>
              <w:rPr>
                <w:sz w:val="22"/>
                <w:szCs w:val="22"/>
                <w:lang w:val="en-US"/>
              </w:rPr>
            </w:pPr>
            <w:r w:rsidRPr="001F2D05">
              <w:rPr>
                <w:sz w:val="22"/>
                <w:szCs w:val="22"/>
                <w:lang w:val="en-US"/>
              </w:rPr>
              <w:t>21</w:t>
            </w:r>
          </w:p>
        </w:tc>
      </w:tr>
      <w:tr w:rsidR="00CC232E" w:rsidTr="0060165B">
        <w:tc>
          <w:tcPr>
            <w:tcW w:w="1119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center"/>
              <w:rPr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>2.13.5.</w:t>
            </w:r>
          </w:p>
        </w:tc>
        <w:tc>
          <w:tcPr>
            <w:tcW w:w="3874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both"/>
              <w:rPr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 xml:space="preserve">Расширение практики </w:t>
            </w:r>
            <w:proofErr w:type="spellStart"/>
            <w:r w:rsidRPr="001F2D05">
              <w:rPr>
                <w:sz w:val="22"/>
                <w:szCs w:val="22"/>
              </w:rPr>
              <w:t>муниципально</w:t>
            </w:r>
            <w:proofErr w:type="spellEnd"/>
            <w:r w:rsidRPr="001F2D05">
              <w:rPr>
                <w:sz w:val="22"/>
                <w:szCs w:val="22"/>
              </w:rPr>
              <w:t>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4126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both"/>
              <w:rPr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 xml:space="preserve">Реализовано </w:t>
            </w:r>
            <w:r w:rsidRPr="001F2D05">
              <w:rPr>
                <w:sz w:val="22"/>
                <w:szCs w:val="22"/>
                <w:lang w:val="en-US"/>
              </w:rPr>
              <w:t>19</w:t>
            </w:r>
            <w:r w:rsidRPr="001F2D05">
              <w:rPr>
                <w:sz w:val="22"/>
                <w:szCs w:val="22"/>
              </w:rPr>
              <w:t xml:space="preserve"> проектов благоустройства</w:t>
            </w:r>
          </w:p>
        </w:tc>
        <w:tc>
          <w:tcPr>
            <w:tcW w:w="3114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both"/>
              <w:rPr>
                <w:sz w:val="22"/>
                <w:szCs w:val="22"/>
              </w:rPr>
            </w:pPr>
            <w:r w:rsidRPr="001F2D05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рамках проектов: инициативного бюджетирования «Вам решать»; «Формирование комфортной городской среды»</w:t>
            </w: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center"/>
              <w:rPr>
                <w:sz w:val="22"/>
                <w:szCs w:val="22"/>
              </w:rPr>
            </w:pPr>
            <w:r w:rsidRPr="001F2D0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:rsidR="00CC232E" w:rsidRPr="001F2D05" w:rsidRDefault="00CC232E" w:rsidP="00CC232E">
            <w:pPr>
              <w:jc w:val="center"/>
              <w:rPr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>19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4126" w:type="dxa"/>
            <w:vAlign w:val="center"/>
          </w:tcPr>
          <w:p w:rsidR="00CC232E" w:rsidRPr="00E077B0" w:rsidRDefault="00870C9B" w:rsidP="00CC232E">
            <w:pPr>
              <w:jc w:val="both"/>
              <w:rPr>
                <w:sz w:val="22"/>
                <w:szCs w:val="22"/>
              </w:rPr>
            </w:pPr>
            <w:r w:rsidRPr="00E077B0">
              <w:rPr>
                <w:color w:val="000000"/>
                <w:sz w:val="22"/>
                <w:szCs w:val="22"/>
              </w:rPr>
              <w:t>Нарушени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E077B0">
              <w:rPr>
                <w:color w:val="000000"/>
                <w:sz w:val="22"/>
                <w:szCs w:val="22"/>
              </w:rPr>
              <w:t xml:space="preserve"> антимонопольного законодательства при проведении конкурсов по отбору управляющих организаций в 2025 году </w:t>
            </w:r>
            <w:r>
              <w:rPr>
                <w:color w:val="000000"/>
                <w:sz w:val="22"/>
                <w:szCs w:val="22"/>
              </w:rPr>
              <w:t>не выявлено</w:t>
            </w:r>
            <w:r w:rsidRPr="00E077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CC232E" w:rsidRPr="00E077B0" w:rsidRDefault="00870C9B" w:rsidP="00870C9B">
            <w:pPr>
              <w:jc w:val="center"/>
              <w:rPr>
                <w:iCs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:rsidR="00CC232E" w:rsidRPr="00E077B0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 w:rsidRPr="00E077B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2.14.3.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Недопущение необоснованного укрупнения лотов при организации и проведении конкурсов по отбору управляющей организации,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преду</w:t>
            </w:r>
            <w:proofErr w:type="spellEnd"/>
            <w:r w:rsidR="00B7135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смотренных</w:t>
            </w:r>
            <w:proofErr w:type="gramEnd"/>
            <w:r>
              <w:rPr>
                <w:sz w:val="22"/>
                <w:szCs w:val="22"/>
              </w:rPr>
              <w:t xml:space="preserve">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</w:t>
            </w:r>
            <w:r w:rsidR="00B7135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квартирным домом, утвержденными постановлением Правительства РФ от 6 февраля 2006 г. № 75</w:t>
            </w:r>
          </w:p>
        </w:tc>
        <w:tc>
          <w:tcPr>
            <w:tcW w:w="4126" w:type="dxa"/>
            <w:vAlign w:val="center"/>
          </w:tcPr>
          <w:p w:rsidR="00CC232E" w:rsidRPr="00E077B0" w:rsidRDefault="00870C9B" w:rsidP="00CC232E">
            <w:pPr>
              <w:jc w:val="both"/>
              <w:rPr>
                <w:sz w:val="22"/>
                <w:szCs w:val="22"/>
              </w:rPr>
            </w:pPr>
            <w:r w:rsidRPr="00E077B0">
              <w:rPr>
                <w:color w:val="000000"/>
                <w:sz w:val="22"/>
                <w:szCs w:val="22"/>
              </w:rPr>
              <w:t xml:space="preserve">За отчетный период по </w:t>
            </w:r>
            <w:r w:rsidRPr="00E077B0">
              <w:rPr>
                <w:sz w:val="22"/>
                <w:szCs w:val="22"/>
              </w:rPr>
              <w:t xml:space="preserve">7 </w:t>
            </w:r>
            <w:r w:rsidRPr="00E077B0">
              <w:rPr>
                <w:color w:val="000000"/>
                <w:sz w:val="22"/>
                <w:szCs w:val="22"/>
              </w:rPr>
              <w:t>МКД проведены открытые конкурсы по выбору управляющей организации для 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077B0">
              <w:rPr>
                <w:color w:val="000000"/>
                <w:sz w:val="22"/>
                <w:szCs w:val="22"/>
              </w:rPr>
              <w:t>многоквартирными домами</w:t>
            </w:r>
          </w:p>
        </w:tc>
        <w:tc>
          <w:tcPr>
            <w:tcW w:w="3114" w:type="dxa"/>
            <w:vAlign w:val="center"/>
          </w:tcPr>
          <w:p w:rsidR="00CC232E" w:rsidRPr="00E077B0" w:rsidRDefault="00870C9B" w:rsidP="00870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:rsidR="00CC232E" w:rsidRPr="00E077B0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 w:rsidRPr="00E077B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Pr="00E077B0" w:rsidRDefault="00CC232E" w:rsidP="00CC232E">
            <w:pPr>
              <w:jc w:val="center"/>
              <w:rPr>
                <w:sz w:val="22"/>
                <w:szCs w:val="22"/>
              </w:rPr>
            </w:pPr>
            <w:r w:rsidRPr="00E077B0">
              <w:rPr>
                <w:sz w:val="22"/>
                <w:szCs w:val="22"/>
              </w:rPr>
              <w:t>-</w:t>
            </w:r>
          </w:p>
        </w:tc>
      </w:tr>
      <w:tr w:rsidR="00CC232E" w:rsidTr="004C14DA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Согласно Закону Нижегородской области от 23.12.2019 №168-З полномочия по организации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 переданы в Правительство Нижегородской области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</w:p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232E" w:rsidTr="002C5D22">
        <w:tc>
          <w:tcPr>
            <w:tcW w:w="1119" w:type="dxa"/>
            <w:vAlign w:val="center"/>
          </w:tcPr>
          <w:p w:rsidR="00CC232E" w:rsidRPr="00EB23AF" w:rsidRDefault="00CC232E" w:rsidP="00CC232E">
            <w:pPr>
              <w:jc w:val="center"/>
              <w:rPr>
                <w:color w:val="000000"/>
                <w:sz w:val="22"/>
                <w:szCs w:val="22"/>
              </w:rPr>
            </w:pPr>
            <w:r w:rsidRPr="00EB23AF"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874" w:type="dxa"/>
            <w:vAlign w:val="center"/>
          </w:tcPr>
          <w:p w:rsidR="00CC232E" w:rsidRPr="00EB23AF" w:rsidRDefault="00CC232E" w:rsidP="00CC232E">
            <w:pPr>
              <w:jc w:val="both"/>
              <w:rPr>
                <w:sz w:val="22"/>
                <w:szCs w:val="22"/>
              </w:rPr>
            </w:pPr>
            <w:r w:rsidRPr="00EB23AF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Pr="00D4197A" w:rsidRDefault="00CC232E" w:rsidP="00CC232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32E" w:rsidRPr="002C5D22" w:rsidRDefault="002C5D22" w:rsidP="002C5D2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C5D22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32E" w:rsidRPr="002C5D22" w:rsidRDefault="002C5D22" w:rsidP="002C5D22">
            <w:pPr>
              <w:jc w:val="center"/>
              <w:rPr>
                <w:sz w:val="22"/>
                <w:szCs w:val="22"/>
                <w:lang w:val="en-US"/>
              </w:rPr>
            </w:pPr>
            <w:r w:rsidRPr="002C5D2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32E" w:rsidRPr="002C5D22" w:rsidRDefault="002C5D22" w:rsidP="002C5D22">
            <w:pPr>
              <w:jc w:val="center"/>
              <w:rPr>
                <w:sz w:val="22"/>
                <w:szCs w:val="22"/>
                <w:lang w:val="en-US"/>
              </w:rPr>
            </w:pPr>
            <w:r w:rsidRPr="002C5D22">
              <w:rPr>
                <w:sz w:val="22"/>
                <w:szCs w:val="22"/>
                <w:lang w:val="en-US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874" w:type="dxa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both"/>
              <w:rPr>
                <w:sz w:val="22"/>
              </w:rPr>
            </w:pPr>
            <w:r>
              <w:rPr>
                <w:iCs/>
                <w:sz w:val="22"/>
              </w:rPr>
              <w:t xml:space="preserve">Не проводилось </w:t>
            </w:r>
            <w:r w:rsidRPr="00F16F4A">
              <w:rPr>
                <w:iCs/>
                <w:sz w:val="22"/>
              </w:rPr>
              <w:t>(предложений не поступало)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2.18.5.</w:t>
            </w:r>
          </w:p>
        </w:tc>
        <w:tc>
          <w:tcPr>
            <w:tcW w:w="3874" w:type="dxa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 пассажиропотока и потребностей в корректировке маршрутной сети Нижегородской </w:t>
            </w:r>
            <w:r>
              <w:rPr>
                <w:sz w:val="22"/>
                <w:szCs w:val="22"/>
              </w:rPr>
              <w:lastRenderedPageBreak/>
              <w:t>области и создание, при необходимости, новых маршрутов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rPr>
                <w:sz w:val="22"/>
              </w:rPr>
            </w:pPr>
            <w:r w:rsidRPr="00F16F4A">
              <w:rPr>
                <w:iCs/>
                <w:sz w:val="22"/>
              </w:rPr>
              <w:lastRenderedPageBreak/>
              <w:t>Мониторинг проводится на регулярной основе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232E" w:rsidTr="00F16F4A">
        <w:trPr>
          <w:trHeight w:val="1848"/>
        </w:trPr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874" w:type="dxa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Pr="00F16F4A" w:rsidRDefault="00CC232E" w:rsidP="00CC232E">
            <w:pPr>
              <w:widowControl w:val="0"/>
              <w:jc w:val="both"/>
              <w:rPr>
                <w:rFonts w:eastAsiaTheme="minorHAnsi"/>
                <w:sz w:val="22"/>
                <w:lang w:eastAsia="en-US"/>
              </w:rPr>
            </w:pPr>
            <w:r>
              <w:rPr>
                <w:sz w:val="22"/>
              </w:rPr>
              <w:t xml:space="preserve">Согласно Закону Нижегородской области от 23.12.2019 №168-З полномочия по </w:t>
            </w:r>
            <w:r>
              <w:rPr>
                <w:rFonts w:eastAsiaTheme="minorHAnsi"/>
                <w:sz w:val="22"/>
                <w:lang w:eastAsia="en-US"/>
              </w:rPr>
              <w:t xml:space="preserve">подготовке и утверждению документа планирования регулярных перевозок по муниципальным маршрутам регулярных перевозок </w:t>
            </w:r>
            <w:r>
              <w:rPr>
                <w:sz w:val="22"/>
              </w:rPr>
              <w:t>переданы в Правительство Нижегородской области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32E" w:rsidRDefault="00CC232E" w:rsidP="00CC232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2.38.2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отдельного раздела на официальном сайте в сети «Интернет» по наиболее часто задаваемым вопросам </w:t>
            </w:r>
            <w:r>
              <w:rPr>
                <w:i/>
                <w:iCs/>
                <w:sz w:val="22"/>
                <w:szCs w:val="22"/>
              </w:rPr>
              <w:t>(по наружной рекламе)</w:t>
            </w:r>
            <w:r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126" w:type="dxa"/>
            <w:vAlign w:val="center"/>
          </w:tcPr>
          <w:p w:rsidR="00CC232E" w:rsidRPr="00D4197A" w:rsidRDefault="00CC232E" w:rsidP="00CC232E">
            <w:pPr>
              <w:jc w:val="both"/>
              <w:rPr>
                <w:iCs/>
                <w:color w:val="7030A0"/>
                <w:sz w:val="22"/>
                <w:szCs w:val="22"/>
              </w:rPr>
            </w:pPr>
            <w:bookmarkStart w:id="0" w:name="_GoBack"/>
            <w:bookmarkEnd w:id="0"/>
            <w:r w:rsidRPr="00D4197A">
              <w:rPr>
                <w:iCs/>
                <w:sz w:val="22"/>
                <w:szCs w:val="22"/>
              </w:rPr>
              <w:t>https://адмдзержинск.рф/ekonomika-i-imushchestvo/naruzhnaya-reklama/?ysclid=lrsuk0i6kk836576136</w:t>
            </w:r>
          </w:p>
        </w:tc>
        <w:tc>
          <w:tcPr>
            <w:tcW w:w="3114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37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87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126" w:type="dxa"/>
            <w:vAlign w:val="center"/>
          </w:tcPr>
          <w:p w:rsidR="00CC232E" w:rsidRPr="00D4197A" w:rsidRDefault="00CC232E" w:rsidP="00CC232E">
            <w:pPr>
              <w:jc w:val="both"/>
              <w:rPr>
                <w:sz w:val="22"/>
                <w:szCs w:val="22"/>
              </w:rPr>
            </w:pPr>
            <w:r w:rsidRPr="00D4197A">
              <w:rPr>
                <w:sz w:val="22"/>
                <w:szCs w:val="22"/>
              </w:rPr>
              <w:t>Разработано туристических маршрутов:</w:t>
            </w:r>
          </w:p>
          <w:p w:rsidR="00CC232E" w:rsidRPr="00D4197A" w:rsidRDefault="00CC232E" w:rsidP="00CC232E">
            <w:pPr>
              <w:jc w:val="both"/>
              <w:rPr>
                <w:sz w:val="22"/>
                <w:szCs w:val="22"/>
              </w:rPr>
            </w:pPr>
            <w:r w:rsidRPr="00D4197A">
              <w:rPr>
                <w:sz w:val="22"/>
                <w:szCs w:val="22"/>
              </w:rPr>
              <w:t>- в 2021 году – 3,</w:t>
            </w:r>
          </w:p>
          <w:p w:rsidR="00CC232E" w:rsidRPr="00D4197A" w:rsidRDefault="00CC232E" w:rsidP="00CC232E">
            <w:pPr>
              <w:jc w:val="both"/>
              <w:rPr>
                <w:sz w:val="22"/>
                <w:szCs w:val="22"/>
              </w:rPr>
            </w:pPr>
            <w:r w:rsidRPr="00D4197A">
              <w:rPr>
                <w:sz w:val="22"/>
                <w:szCs w:val="22"/>
              </w:rPr>
              <w:t xml:space="preserve">- в 2022 году - 3, </w:t>
            </w:r>
          </w:p>
          <w:p w:rsidR="00CC232E" w:rsidRPr="00D4197A" w:rsidRDefault="00CC232E" w:rsidP="00CC232E">
            <w:pPr>
              <w:jc w:val="both"/>
              <w:rPr>
                <w:sz w:val="22"/>
                <w:szCs w:val="22"/>
              </w:rPr>
            </w:pPr>
            <w:r w:rsidRPr="00D4197A">
              <w:rPr>
                <w:sz w:val="22"/>
                <w:szCs w:val="22"/>
              </w:rPr>
              <w:t xml:space="preserve">- в 2023 году - 4, </w:t>
            </w:r>
          </w:p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 w:rsidRPr="00D4197A">
              <w:rPr>
                <w:sz w:val="22"/>
                <w:szCs w:val="22"/>
              </w:rPr>
              <w:t xml:space="preserve">- в 2024 году </w:t>
            </w:r>
            <w:r>
              <w:rPr>
                <w:sz w:val="22"/>
                <w:szCs w:val="22"/>
              </w:rPr>
              <w:t>–</w:t>
            </w:r>
            <w:r w:rsidRPr="00D4197A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,</w:t>
            </w:r>
          </w:p>
          <w:p w:rsidR="00CC232E" w:rsidRPr="0081537F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2025 году - 7</w:t>
            </w:r>
          </w:p>
        </w:tc>
        <w:tc>
          <w:tcPr>
            <w:tcW w:w="311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8715C4">
              <w:rPr>
                <w:bCs/>
                <w:color w:val="000000"/>
                <w:sz w:val="22"/>
                <w:szCs w:val="22"/>
              </w:rPr>
              <w:t>маршрутов/ экскурсий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1737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7" w:type="dxa"/>
            <w:vAlign w:val="center"/>
          </w:tcPr>
          <w:p w:rsidR="00CC232E" w:rsidRPr="0081537F" w:rsidRDefault="00CC232E" w:rsidP="00CC232E">
            <w:pPr>
              <w:jc w:val="center"/>
              <w:rPr>
                <w:sz w:val="22"/>
                <w:szCs w:val="22"/>
              </w:rPr>
            </w:pPr>
            <w:r w:rsidRPr="00F462E1">
              <w:rPr>
                <w:iCs/>
                <w:sz w:val="22"/>
                <w:szCs w:val="22"/>
              </w:rPr>
              <w:t>7</w:t>
            </w:r>
          </w:p>
        </w:tc>
      </w:tr>
      <w:tr w:rsidR="00CC232E" w:rsidTr="002800F9"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874" w:type="dxa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 Дивеево» Нижегородской области</w:t>
            </w:r>
          </w:p>
        </w:tc>
        <w:tc>
          <w:tcPr>
            <w:tcW w:w="4126" w:type="dxa"/>
            <w:vAlign w:val="center"/>
          </w:tcPr>
          <w:p w:rsidR="00CC232E" w:rsidRPr="0081537F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color w:val="7030A0"/>
                <w:sz w:val="22"/>
                <w:szCs w:val="22"/>
              </w:rPr>
              <w:t>-</w:t>
            </w:r>
          </w:p>
        </w:tc>
        <w:tc>
          <w:tcPr>
            <w:tcW w:w="311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1737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907" w:type="dxa"/>
            <w:vAlign w:val="center"/>
          </w:tcPr>
          <w:p w:rsidR="00CC232E" w:rsidRPr="0081537F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color w:val="7030A0"/>
                <w:sz w:val="22"/>
                <w:szCs w:val="22"/>
              </w:rPr>
              <w:t>-</w:t>
            </w:r>
          </w:p>
        </w:tc>
      </w:tr>
      <w:tr w:rsidR="00CC232E" w:rsidTr="001E7CF2">
        <w:trPr>
          <w:cantSplit/>
        </w:trPr>
        <w:tc>
          <w:tcPr>
            <w:tcW w:w="1119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2.40.3.</w:t>
            </w:r>
          </w:p>
        </w:tc>
        <w:tc>
          <w:tcPr>
            <w:tcW w:w="3874" w:type="dxa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126" w:type="dxa"/>
            <w:vAlign w:val="center"/>
          </w:tcPr>
          <w:p w:rsidR="00CC232E" w:rsidRPr="0081537F" w:rsidRDefault="00CC232E" w:rsidP="00CC232E">
            <w:pPr>
              <w:jc w:val="both"/>
              <w:rPr>
                <w:sz w:val="22"/>
                <w:szCs w:val="22"/>
              </w:rPr>
            </w:pPr>
            <w:r w:rsidRPr="003A504B">
              <w:rPr>
                <w:sz w:val="22"/>
                <w:szCs w:val="22"/>
              </w:rPr>
              <w:t>https://адмдзержинск.рф/ekonomika-i-imushchestvo/malyy-i-sredniy-biznes/podderzhka-predprinimatelstva/</w:t>
            </w:r>
          </w:p>
        </w:tc>
        <w:tc>
          <w:tcPr>
            <w:tcW w:w="3114" w:type="dxa"/>
            <w:vAlign w:val="center"/>
          </w:tcPr>
          <w:p w:rsidR="00CC232E" w:rsidRDefault="00CC232E" w:rsidP="00CC2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7" w:type="dxa"/>
            <w:vAlign w:val="center"/>
          </w:tcPr>
          <w:p w:rsidR="00CC232E" w:rsidRDefault="00CC232E" w:rsidP="00CC2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643" w:rsidRDefault="00191643" w:rsidP="00191643">
      <w:pPr>
        <w:jc w:val="right"/>
        <w:rPr>
          <w:sz w:val="22"/>
          <w:szCs w:val="22"/>
        </w:rPr>
      </w:pPr>
    </w:p>
    <w:p w:rsidR="000A3C53" w:rsidRPr="00870C9B" w:rsidRDefault="00191643" w:rsidP="00870C9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af7"/>
        <w:tblW w:w="16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35"/>
        <w:gridCol w:w="2514"/>
        <w:gridCol w:w="3523"/>
        <w:gridCol w:w="2268"/>
        <w:gridCol w:w="4733"/>
        <w:gridCol w:w="1691"/>
      </w:tblGrid>
      <w:tr w:rsidR="00870C9B" w:rsidTr="00426123">
        <w:trPr>
          <w:trHeight w:val="619"/>
        </w:trPr>
        <w:tc>
          <w:tcPr>
            <w:tcW w:w="16064" w:type="dxa"/>
            <w:gridSpan w:val="6"/>
            <w:vAlign w:val="center"/>
          </w:tcPr>
          <w:p w:rsidR="00870C9B" w:rsidRPr="00426123" w:rsidRDefault="00870C9B">
            <w:pPr>
              <w:jc w:val="center"/>
              <w:rPr>
                <w:b/>
                <w:sz w:val="22"/>
                <w:szCs w:val="22"/>
              </w:rPr>
            </w:pPr>
            <w:r w:rsidRPr="00426123">
              <w:rPr>
                <w:b/>
                <w:sz w:val="22"/>
                <w:szCs w:val="22"/>
              </w:rPr>
              <w:lastRenderedPageBreak/>
              <w:t>РАСЧЕТ ПОКАЗАТЕЛЕЙ НА РЫНКАХ РАЗВИТИЯ КОНКУРЕНЦИИ, ОПРЕДЕЛЯЕМЫХ ПО ДОЛЕ ОРГАНИЗАЦИЙ ЧАСТНОЙ ФОРМЫ СОБСТВЕННОСТИ (УСЛУГ)</w:t>
            </w:r>
          </w:p>
        </w:tc>
      </w:tr>
      <w:tr w:rsidR="00C439F5" w:rsidTr="00C439F5">
        <w:trPr>
          <w:trHeight w:val="1498"/>
          <w:tblHeader/>
        </w:trPr>
        <w:tc>
          <w:tcPr>
            <w:tcW w:w="1335" w:type="dxa"/>
            <w:vAlign w:val="center"/>
          </w:tcPr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  <w:r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proofErr w:type="gramStart"/>
            <w:r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proofErr w:type="gramEnd"/>
            <w:r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2514" w:type="dxa"/>
            <w:vAlign w:val="center"/>
          </w:tcPr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3523" w:type="dxa"/>
            <w:vAlign w:val="center"/>
          </w:tcPr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001" w:type="dxa"/>
            <w:gridSpan w:val="2"/>
            <w:vAlign w:val="center"/>
          </w:tcPr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>
              <w:rPr>
                <w:b/>
                <w:sz w:val="22"/>
                <w:szCs w:val="22"/>
              </w:rPr>
              <w:t xml:space="preserve"> за январь–декабрь 2025 года</w:t>
            </w:r>
          </w:p>
        </w:tc>
        <w:tc>
          <w:tcPr>
            <w:tcW w:w="1691" w:type="dxa"/>
            <w:vAlign w:val="center"/>
          </w:tcPr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 целевого</w:t>
            </w:r>
          </w:p>
          <w:p w:rsidR="00C439F5" w:rsidRDefault="00C439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показателя, %</w:t>
            </w:r>
          </w:p>
        </w:tc>
      </w:tr>
      <w:tr w:rsidR="00C439F5" w:rsidRPr="001F2D05" w:rsidTr="001F2D05">
        <w:trPr>
          <w:trHeight w:val="3184"/>
        </w:trPr>
        <w:tc>
          <w:tcPr>
            <w:tcW w:w="1335" w:type="dxa"/>
            <w:shd w:val="clear" w:color="auto" w:fill="FFFFFF" w:themeFill="background1"/>
          </w:tcPr>
          <w:p w:rsidR="00C439F5" w:rsidRPr="001F2D05" w:rsidRDefault="00C439F5">
            <w:pPr>
              <w:rPr>
                <w:b/>
                <w:bCs/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>2.13.</w:t>
            </w:r>
          </w:p>
        </w:tc>
        <w:tc>
          <w:tcPr>
            <w:tcW w:w="2514" w:type="dxa"/>
            <w:shd w:val="clear" w:color="auto" w:fill="FFFFFF" w:themeFill="background1"/>
          </w:tcPr>
          <w:p w:rsidR="00C439F5" w:rsidRPr="00B71358" w:rsidRDefault="00C439F5">
            <w:pPr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Рынок выполнения работ по благоустройству городской среды*</w:t>
            </w:r>
          </w:p>
        </w:tc>
        <w:tc>
          <w:tcPr>
            <w:tcW w:w="3523" w:type="dxa"/>
            <w:shd w:val="clear" w:color="auto" w:fill="FFFFFF" w:themeFill="background1"/>
          </w:tcPr>
          <w:p w:rsidR="00C439F5" w:rsidRPr="00B71358" w:rsidRDefault="00C439F5">
            <w:pPr>
              <w:rPr>
                <w:bCs/>
                <w:sz w:val="22"/>
                <w:szCs w:val="22"/>
              </w:rPr>
            </w:pPr>
            <w:r w:rsidRPr="00B71358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 (по сумме контрактов), %</w:t>
            </w:r>
          </w:p>
        </w:tc>
        <w:tc>
          <w:tcPr>
            <w:tcW w:w="2268" w:type="dxa"/>
            <w:shd w:val="clear" w:color="auto" w:fill="FFFFFF" w:themeFill="background1"/>
          </w:tcPr>
          <w:p w:rsidR="001F2D05" w:rsidRPr="00B71358" w:rsidRDefault="001F2D05">
            <w:pPr>
              <w:rPr>
                <w:iCs/>
                <w:sz w:val="22"/>
              </w:rPr>
            </w:pPr>
            <w:r w:rsidRPr="00B71358">
              <w:rPr>
                <w:iCs/>
                <w:sz w:val="22"/>
              </w:rPr>
              <w:t>О</w:t>
            </w:r>
            <w:r w:rsidR="00C439F5" w:rsidRPr="00B71358">
              <w:rPr>
                <w:iCs/>
                <w:sz w:val="22"/>
              </w:rPr>
              <w:t xml:space="preserve">бъем проведенных муниципальным образованием закупок в части заключенных и реализованных контрактов по благоустройству городской среды с организациями частной формы собственности, </w:t>
            </w:r>
          </w:p>
          <w:p w:rsidR="00C439F5" w:rsidRPr="00B71358" w:rsidRDefault="001F2D05">
            <w:pPr>
              <w:rPr>
                <w:iCs/>
                <w:color w:val="7030A0"/>
                <w:sz w:val="20"/>
              </w:rPr>
            </w:pPr>
            <w:r w:rsidRPr="00B71358">
              <w:rPr>
                <w:iCs/>
                <w:sz w:val="22"/>
              </w:rPr>
              <w:t>140</w:t>
            </w:r>
            <w:r w:rsidR="00C27111" w:rsidRPr="00B71358">
              <w:rPr>
                <w:iCs/>
                <w:sz w:val="22"/>
              </w:rPr>
              <w:t xml:space="preserve">,5 </w:t>
            </w:r>
            <w:r w:rsidR="00C439F5" w:rsidRPr="00B71358">
              <w:rPr>
                <w:bCs/>
                <w:iCs/>
                <w:sz w:val="22"/>
              </w:rPr>
              <w:t>млн руб.</w:t>
            </w:r>
          </w:p>
        </w:tc>
        <w:tc>
          <w:tcPr>
            <w:tcW w:w="4733" w:type="dxa"/>
            <w:shd w:val="clear" w:color="auto" w:fill="FFFFFF" w:themeFill="background1"/>
          </w:tcPr>
          <w:p w:rsidR="001F2D05" w:rsidRPr="00B71358" w:rsidRDefault="001F2D05">
            <w:pPr>
              <w:rPr>
                <w:iCs/>
                <w:sz w:val="22"/>
              </w:rPr>
            </w:pPr>
            <w:r w:rsidRPr="00B71358">
              <w:rPr>
                <w:iCs/>
                <w:sz w:val="22"/>
              </w:rPr>
              <w:t>О</w:t>
            </w:r>
            <w:r w:rsidR="00C439F5" w:rsidRPr="00B71358">
              <w:rPr>
                <w:iCs/>
                <w:sz w:val="22"/>
              </w:rPr>
              <w:t xml:space="preserve">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закупок, </w:t>
            </w:r>
          </w:p>
          <w:p w:rsidR="00C439F5" w:rsidRPr="00B71358" w:rsidRDefault="001F2D05">
            <w:pPr>
              <w:rPr>
                <w:bCs/>
                <w:sz w:val="20"/>
              </w:rPr>
            </w:pPr>
            <w:r w:rsidRPr="00B71358">
              <w:rPr>
                <w:bCs/>
                <w:iCs/>
                <w:sz w:val="22"/>
              </w:rPr>
              <w:t>140</w:t>
            </w:r>
            <w:r w:rsidR="00C27111" w:rsidRPr="00B71358">
              <w:rPr>
                <w:bCs/>
                <w:iCs/>
                <w:sz w:val="22"/>
              </w:rPr>
              <w:t>,5</w:t>
            </w:r>
            <w:r w:rsidRPr="00B71358">
              <w:rPr>
                <w:bCs/>
                <w:iCs/>
                <w:sz w:val="22"/>
              </w:rPr>
              <w:t xml:space="preserve"> </w:t>
            </w:r>
            <w:r w:rsidR="00C439F5" w:rsidRPr="00B71358">
              <w:rPr>
                <w:bCs/>
                <w:iCs/>
                <w:sz w:val="22"/>
              </w:rPr>
              <w:t>млн руб.</w:t>
            </w:r>
          </w:p>
        </w:tc>
        <w:tc>
          <w:tcPr>
            <w:tcW w:w="1691" w:type="dxa"/>
            <w:shd w:val="clear" w:color="auto" w:fill="FFFFFF" w:themeFill="background1"/>
          </w:tcPr>
          <w:p w:rsidR="00C439F5" w:rsidRPr="00B71358" w:rsidRDefault="00B332D3">
            <w:pPr>
              <w:jc w:val="center"/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100</w:t>
            </w:r>
          </w:p>
        </w:tc>
      </w:tr>
      <w:tr w:rsidR="00C439F5" w:rsidRPr="001F2D05" w:rsidTr="001F2D05">
        <w:trPr>
          <w:trHeight w:val="2486"/>
        </w:trPr>
        <w:tc>
          <w:tcPr>
            <w:tcW w:w="1335" w:type="dxa"/>
            <w:shd w:val="clear" w:color="auto" w:fill="FFFFFF" w:themeFill="background1"/>
          </w:tcPr>
          <w:p w:rsidR="00C439F5" w:rsidRPr="001F2D05" w:rsidRDefault="00C439F5">
            <w:pPr>
              <w:rPr>
                <w:b/>
                <w:bCs/>
                <w:sz w:val="22"/>
                <w:szCs w:val="22"/>
              </w:rPr>
            </w:pPr>
            <w:r w:rsidRPr="001F2D05">
              <w:rPr>
                <w:sz w:val="22"/>
                <w:szCs w:val="22"/>
              </w:rPr>
              <w:t>2.13.4</w:t>
            </w:r>
          </w:p>
        </w:tc>
        <w:tc>
          <w:tcPr>
            <w:tcW w:w="2514" w:type="dxa"/>
            <w:shd w:val="clear" w:color="auto" w:fill="FFFFFF" w:themeFill="background1"/>
          </w:tcPr>
          <w:p w:rsidR="00C439F5" w:rsidRPr="00B71358" w:rsidRDefault="00C439F5">
            <w:pPr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Pr="00B71358">
              <w:t>*</w:t>
            </w:r>
          </w:p>
        </w:tc>
        <w:tc>
          <w:tcPr>
            <w:tcW w:w="3523" w:type="dxa"/>
            <w:shd w:val="clear" w:color="auto" w:fill="FFFFFF" w:themeFill="background1"/>
          </w:tcPr>
          <w:p w:rsidR="00C439F5" w:rsidRPr="00B71358" w:rsidRDefault="00C439F5">
            <w:pPr>
              <w:rPr>
                <w:bCs/>
                <w:sz w:val="22"/>
                <w:szCs w:val="22"/>
              </w:rPr>
            </w:pPr>
            <w:r w:rsidRPr="00B71358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приоритетных, %</w:t>
            </w:r>
          </w:p>
        </w:tc>
        <w:tc>
          <w:tcPr>
            <w:tcW w:w="2268" w:type="dxa"/>
            <w:shd w:val="clear" w:color="auto" w:fill="FFFFFF" w:themeFill="background1"/>
          </w:tcPr>
          <w:p w:rsidR="001F2D05" w:rsidRPr="00B71358" w:rsidRDefault="001F2D05">
            <w:pPr>
              <w:rPr>
                <w:bCs/>
                <w:iCs/>
                <w:sz w:val="22"/>
              </w:rPr>
            </w:pPr>
            <w:r w:rsidRPr="00B71358">
              <w:rPr>
                <w:iCs/>
                <w:sz w:val="22"/>
              </w:rPr>
              <w:t>Ч</w:t>
            </w:r>
            <w:r w:rsidR="00C439F5" w:rsidRPr="00B71358">
              <w:rPr>
                <w:iCs/>
                <w:sz w:val="22"/>
              </w:rPr>
              <w:t>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="00C439F5" w:rsidRPr="00B71358">
              <w:rPr>
                <w:bCs/>
                <w:iCs/>
                <w:sz w:val="22"/>
              </w:rPr>
              <w:t xml:space="preserve">, </w:t>
            </w:r>
          </w:p>
          <w:p w:rsidR="00C439F5" w:rsidRPr="00B71358" w:rsidRDefault="001F2D05">
            <w:pPr>
              <w:rPr>
                <w:bCs/>
                <w:sz w:val="22"/>
                <w:szCs w:val="22"/>
              </w:rPr>
            </w:pPr>
            <w:r w:rsidRPr="00B71358">
              <w:rPr>
                <w:bCs/>
                <w:iCs/>
                <w:sz w:val="22"/>
              </w:rPr>
              <w:t>17 ед.</w:t>
            </w:r>
          </w:p>
        </w:tc>
        <w:tc>
          <w:tcPr>
            <w:tcW w:w="4733" w:type="dxa"/>
            <w:shd w:val="clear" w:color="auto" w:fill="FFFFFF" w:themeFill="background1"/>
          </w:tcPr>
          <w:p w:rsidR="001F2D05" w:rsidRPr="00B71358" w:rsidRDefault="001F2D05">
            <w:pPr>
              <w:rPr>
                <w:bCs/>
                <w:iCs/>
                <w:sz w:val="22"/>
              </w:rPr>
            </w:pPr>
            <w:r w:rsidRPr="00B71358">
              <w:rPr>
                <w:iCs/>
                <w:sz w:val="22"/>
              </w:rPr>
              <w:t>О</w:t>
            </w:r>
            <w:r w:rsidR="00C439F5" w:rsidRPr="00B71358">
              <w:rPr>
                <w:iCs/>
                <w:sz w:val="22"/>
              </w:rPr>
              <w:t>бщее число муниципальных контрактов в сфере благоустройства городской среды</w:t>
            </w:r>
            <w:r w:rsidR="00C439F5" w:rsidRPr="00B71358">
              <w:rPr>
                <w:bCs/>
                <w:iCs/>
                <w:sz w:val="22"/>
              </w:rPr>
              <w:t xml:space="preserve">, </w:t>
            </w:r>
          </w:p>
          <w:p w:rsidR="00C439F5" w:rsidRPr="00B71358" w:rsidRDefault="001F2D05">
            <w:pPr>
              <w:rPr>
                <w:bCs/>
                <w:sz w:val="22"/>
                <w:szCs w:val="22"/>
              </w:rPr>
            </w:pPr>
            <w:r w:rsidRPr="00B71358">
              <w:rPr>
                <w:bCs/>
                <w:iCs/>
                <w:sz w:val="22"/>
              </w:rPr>
              <w:t xml:space="preserve">24 </w:t>
            </w:r>
            <w:r w:rsidR="00C439F5" w:rsidRPr="00B71358">
              <w:rPr>
                <w:bCs/>
                <w:iCs/>
                <w:sz w:val="22"/>
              </w:rPr>
              <w:t>ед.</w:t>
            </w:r>
            <w:r w:rsidRPr="00B71358">
              <w:rPr>
                <w:bCs/>
                <w:iCs/>
                <w:sz w:val="22"/>
              </w:rPr>
              <w:t xml:space="preserve"> </w:t>
            </w:r>
          </w:p>
        </w:tc>
        <w:tc>
          <w:tcPr>
            <w:tcW w:w="1691" w:type="dxa"/>
            <w:shd w:val="clear" w:color="auto" w:fill="FFFFFF" w:themeFill="background1"/>
          </w:tcPr>
          <w:p w:rsidR="00C439F5" w:rsidRPr="00B71358" w:rsidRDefault="001F2D05">
            <w:pPr>
              <w:jc w:val="center"/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70,8</w:t>
            </w:r>
          </w:p>
        </w:tc>
      </w:tr>
      <w:tr w:rsidR="002800F9" w:rsidTr="00C55966">
        <w:trPr>
          <w:trHeight w:val="1487"/>
        </w:trPr>
        <w:tc>
          <w:tcPr>
            <w:tcW w:w="1335" w:type="dxa"/>
          </w:tcPr>
          <w:p w:rsidR="002800F9" w:rsidRDefault="002800F9" w:rsidP="0028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</w:t>
            </w:r>
          </w:p>
        </w:tc>
        <w:tc>
          <w:tcPr>
            <w:tcW w:w="2514" w:type="dxa"/>
          </w:tcPr>
          <w:p w:rsidR="002800F9" w:rsidRPr="00B71358" w:rsidRDefault="002800F9" w:rsidP="002800F9">
            <w:pPr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F9" w:rsidRPr="00B71358" w:rsidRDefault="002800F9" w:rsidP="002800F9">
            <w:pPr>
              <w:widowControl w:val="0"/>
              <w:rPr>
                <w:bCs/>
                <w:sz w:val="22"/>
              </w:rPr>
            </w:pPr>
            <w:r w:rsidRPr="00B71358">
              <w:rPr>
                <w:color w:val="000000"/>
                <w:sz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F9" w:rsidRPr="00B71358" w:rsidRDefault="003A504B" w:rsidP="002800F9">
            <w:pPr>
              <w:widowControl w:val="0"/>
              <w:rPr>
                <w:bCs/>
                <w:iCs/>
                <w:color w:val="7030A0"/>
                <w:sz w:val="20"/>
              </w:rPr>
            </w:pPr>
            <w:r w:rsidRPr="00B71358">
              <w:rPr>
                <w:iCs/>
                <w:sz w:val="22"/>
                <w:szCs w:val="22"/>
              </w:rPr>
              <w:t>Количество перевезенных пассажиров организациями частной формы собственности</w:t>
            </w:r>
            <w:r w:rsidRPr="00B71358">
              <w:rPr>
                <w:bCs/>
                <w:i/>
                <w:iCs/>
                <w:color w:val="7030A0"/>
                <w:sz w:val="20"/>
              </w:rPr>
              <w:t>,</w:t>
            </w:r>
          </w:p>
          <w:p w:rsidR="002800F9" w:rsidRPr="00B71358" w:rsidRDefault="002800F9" w:rsidP="00C27111">
            <w:pPr>
              <w:widowControl w:val="0"/>
              <w:rPr>
                <w:bCs/>
                <w:sz w:val="22"/>
                <w:szCs w:val="22"/>
              </w:rPr>
            </w:pPr>
            <w:r w:rsidRPr="00B71358">
              <w:rPr>
                <w:bCs/>
                <w:iCs/>
                <w:sz w:val="22"/>
              </w:rPr>
              <w:t>5 352</w:t>
            </w:r>
            <w:r w:rsidR="00C27111" w:rsidRPr="00B71358">
              <w:rPr>
                <w:bCs/>
                <w:iCs/>
                <w:color w:val="000000"/>
                <w:sz w:val="22"/>
              </w:rPr>
              <w:t> </w:t>
            </w:r>
            <w:r w:rsidRPr="00B71358">
              <w:rPr>
                <w:bCs/>
                <w:iCs/>
                <w:color w:val="000000"/>
                <w:sz w:val="22"/>
              </w:rPr>
              <w:t>358</w:t>
            </w:r>
            <w:r w:rsidR="00C27111" w:rsidRPr="00B71358">
              <w:rPr>
                <w:bCs/>
                <w:iCs/>
                <w:color w:val="000000"/>
                <w:sz w:val="22"/>
              </w:rPr>
              <w:t xml:space="preserve"> чел.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F9" w:rsidRPr="00B71358" w:rsidRDefault="003A504B" w:rsidP="00C27111">
            <w:pPr>
              <w:widowControl w:val="0"/>
              <w:rPr>
                <w:bCs/>
                <w:iCs/>
                <w:sz w:val="22"/>
              </w:rPr>
            </w:pPr>
            <w:r w:rsidRPr="00B71358">
              <w:rPr>
                <w:iCs/>
                <w:sz w:val="22"/>
              </w:rPr>
              <w:t>О</w:t>
            </w:r>
            <w:r w:rsidR="002800F9" w:rsidRPr="00B71358">
              <w:rPr>
                <w:iCs/>
                <w:sz w:val="22"/>
              </w:rPr>
              <w:t xml:space="preserve">бщее количество перевезенных пассажиров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="002800F9" w:rsidRPr="00B71358">
              <w:rPr>
                <w:bCs/>
                <w:color w:val="000000"/>
                <w:sz w:val="22"/>
              </w:rPr>
              <w:t>9 658</w:t>
            </w:r>
            <w:r w:rsidR="00C27111" w:rsidRPr="00B71358">
              <w:rPr>
                <w:bCs/>
                <w:color w:val="000000"/>
                <w:sz w:val="22"/>
              </w:rPr>
              <w:t> </w:t>
            </w:r>
            <w:r w:rsidR="002800F9" w:rsidRPr="00B71358">
              <w:rPr>
                <w:bCs/>
                <w:color w:val="000000"/>
                <w:sz w:val="22"/>
              </w:rPr>
              <w:t>605</w:t>
            </w:r>
            <w:r w:rsidR="00C27111" w:rsidRPr="00B71358">
              <w:rPr>
                <w:bCs/>
                <w:color w:val="000000"/>
                <w:sz w:val="22"/>
              </w:rPr>
              <w:t xml:space="preserve"> чел.</w:t>
            </w:r>
          </w:p>
          <w:p w:rsidR="002800F9" w:rsidRPr="00B71358" w:rsidRDefault="002800F9" w:rsidP="002800F9">
            <w:pPr>
              <w:widowControl w:val="0"/>
              <w:rPr>
                <w:i/>
                <w:iCs/>
                <w:color w:val="7030A0"/>
                <w:sz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0F9" w:rsidRPr="00B71358" w:rsidRDefault="002800F9" w:rsidP="002800F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2800F9" w:rsidRPr="00B71358" w:rsidRDefault="002800F9" w:rsidP="002800F9">
            <w:pPr>
              <w:widowControl w:val="0"/>
              <w:jc w:val="center"/>
            </w:pPr>
            <w:r w:rsidRPr="00B71358">
              <w:rPr>
                <w:bCs/>
                <w:sz w:val="22"/>
              </w:rPr>
              <w:t>55,4</w:t>
            </w:r>
          </w:p>
          <w:p w:rsidR="002800F9" w:rsidRPr="00B71358" w:rsidRDefault="002800F9" w:rsidP="002800F9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  <w:p w:rsidR="002800F9" w:rsidRPr="00B71358" w:rsidRDefault="002800F9" w:rsidP="002800F9">
            <w:pPr>
              <w:widowControl w:val="0"/>
              <w:jc w:val="center"/>
              <w:rPr>
                <w:bCs/>
                <w:i/>
                <w:sz w:val="22"/>
              </w:rPr>
            </w:pPr>
            <w:r w:rsidRPr="00B71358">
              <w:rPr>
                <w:bCs/>
                <w:i/>
                <w:sz w:val="22"/>
              </w:rPr>
              <w:t>(доля перевезенных пассажиров частными перевозчиками)</w:t>
            </w:r>
          </w:p>
        </w:tc>
      </w:tr>
      <w:tr w:rsidR="002800F9" w:rsidTr="00C439F5">
        <w:trPr>
          <w:trHeight w:val="2262"/>
        </w:trPr>
        <w:tc>
          <w:tcPr>
            <w:tcW w:w="1335" w:type="dxa"/>
          </w:tcPr>
          <w:p w:rsidR="002800F9" w:rsidRDefault="002800F9" w:rsidP="0028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2.38.</w:t>
            </w:r>
          </w:p>
        </w:tc>
        <w:tc>
          <w:tcPr>
            <w:tcW w:w="2514" w:type="dxa"/>
          </w:tcPr>
          <w:p w:rsidR="002800F9" w:rsidRPr="00B71358" w:rsidRDefault="002800F9" w:rsidP="002800F9">
            <w:pPr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3523" w:type="dxa"/>
          </w:tcPr>
          <w:p w:rsidR="002800F9" w:rsidRPr="00B71358" w:rsidRDefault="002800F9" w:rsidP="002800F9">
            <w:pPr>
              <w:rPr>
                <w:bCs/>
                <w:sz w:val="22"/>
                <w:szCs w:val="22"/>
              </w:rPr>
            </w:pPr>
            <w:r w:rsidRPr="00B71358">
              <w:rPr>
                <w:color w:val="000000"/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</w:tc>
        <w:tc>
          <w:tcPr>
            <w:tcW w:w="2268" w:type="dxa"/>
          </w:tcPr>
          <w:p w:rsidR="002800F9" w:rsidRPr="00B71358" w:rsidRDefault="003A504B" w:rsidP="002800F9">
            <w:pPr>
              <w:rPr>
                <w:iCs/>
                <w:color w:val="7030A0"/>
                <w:sz w:val="22"/>
              </w:rPr>
            </w:pPr>
            <w:r w:rsidRPr="00B71358">
              <w:rPr>
                <w:iCs/>
                <w:sz w:val="22"/>
              </w:rPr>
              <w:t>Количество</w:t>
            </w:r>
            <w:r w:rsidR="002800F9" w:rsidRPr="00B71358">
              <w:rPr>
                <w:iCs/>
                <w:sz w:val="22"/>
              </w:rPr>
              <w:t xml:space="preserve"> организаций частной формы собственности в сфере наружной рекламы, 132 </w:t>
            </w:r>
            <w:r w:rsidR="002800F9" w:rsidRPr="00B71358">
              <w:rPr>
                <w:bCs/>
                <w:iCs/>
                <w:sz w:val="22"/>
              </w:rPr>
              <w:t>ед.</w:t>
            </w:r>
          </w:p>
        </w:tc>
        <w:tc>
          <w:tcPr>
            <w:tcW w:w="4733" w:type="dxa"/>
          </w:tcPr>
          <w:p w:rsidR="002800F9" w:rsidRPr="00B71358" w:rsidRDefault="002800F9" w:rsidP="002800F9">
            <w:pPr>
              <w:rPr>
                <w:iCs/>
                <w:color w:val="7030A0"/>
                <w:sz w:val="22"/>
              </w:rPr>
            </w:pPr>
            <w:r w:rsidRPr="00B71358">
              <w:rPr>
                <w:iCs/>
                <w:sz w:val="22"/>
              </w:rPr>
              <w:t xml:space="preserve">Указывается общее количество организаций частной формы собственности в сфере наружной рекламы,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132 </w:t>
            </w:r>
            <w:r w:rsidRPr="00B71358">
              <w:rPr>
                <w:bCs/>
                <w:iCs/>
                <w:sz w:val="22"/>
              </w:rPr>
              <w:t>ед.</w:t>
            </w:r>
          </w:p>
        </w:tc>
        <w:tc>
          <w:tcPr>
            <w:tcW w:w="1691" w:type="dxa"/>
          </w:tcPr>
          <w:p w:rsidR="002800F9" w:rsidRPr="00B71358" w:rsidRDefault="002800F9" w:rsidP="002800F9">
            <w:pPr>
              <w:jc w:val="center"/>
              <w:rPr>
                <w:bCs/>
                <w:sz w:val="22"/>
                <w:szCs w:val="22"/>
              </w:rPr>
            </w:pPr>
            <w:r w:rsidRPr="00B71358">
              <w:rPr>
                <w:bCs/>
                <w:sz w:val="22"/>
                <w:szCs w:val="22"/>
              </w:rPr>
              <w:t>100</w:t>
            </w:r>
          </w:p>
        </w:tc>
      </w:tr>
    </w:tbl>
    <w:p w:rsidR="000A3C53" w:rsidRDefault="000A3C53"/>
    <w:p w:rsidR="000A3C53" w:rsidRDefault="00EB7405">
      <w:r>
        <w:t xml:space="preserve">* </w:t>
      </w:r>
      <w:r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1232/18).</w:t>
      </w:r>
    </w:p>
    <w:sectPr w:rsidR="000A3C53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0A7" w:rsidRDefault="00C810A7">
      <w:r>
        <w:separator/>
      </w:r>
    </w:p>
  </w:endnote>
  <w:endnote w:type="continuationSeparator" w:id="0">
    <w:p w:rsidR="00C810A7" w:rsidRDefault="00C8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0A7" w:rsidRDefault="00C810A7">
      <w:r>
        <w:separator/>
      </w:r>
    </w:p>
  </w:footnote>
  <w:footnote w:type="continuationSeparator" w:id="0">
    <w:p w:rsidR="00C810A7" w:rsidRDefault="00C81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7852382"/>
      <w:docPartObj>
        <w:docPartGallery w:val="Page Numbers (Top of Page)"/>
        <w:docPartUnique/>
      </w:docPartObj>
    </w:sdtPr>
    <w:sdtEndPr/>
    <w:sdtContent>
      <w:p w:rsidR="000A3C53" w:rsidRDefault="00EB740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3C53" w:rsidRDefault="000A3C5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B4B1D"/>
    <w:multiLevelType w:val="hybridMultilevel"/>
    <w:tmpl w:val="C382FDEA"/>
    <w:lvl w:ilvl="0" w:tplc="8C1A5E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3FC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21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A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7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C6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43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64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347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124B"/>
    <w:multiLevelType w:val="hybridMultilevel"/>
    <w:tmpl w:val="13E6C034"/>
    <w:lvl w:ilvl="0" w:tplc="1B803D7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FA43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82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E3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A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AD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8D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08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8F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53"/>
    <w:rsid w:val="000A3C53"/>
    <w:rsid w:val="00191643"/>
    <w:rsid w:val="00197287"/>
    <w:rsid w:val="001E7CF2"/>
    <w:rsid w:val="001F2D05"/>
    <w:rsid w:val="002252E0"/>
    <w:rsid w:val="002800F9"/>
    <w:rsid w:val="002C5D22"/>
    <w:rsid w:val="00333B98"/>
    <w:rsid w:val="00345CC1"/>
    <w:rsid w:val="003A504B"/>
    <w:rsid w:val="00426123"/>
    <w:rsid w:val="004D7144"/>
    <w:rsid w:val="005528E1"/>
    <w:rsid w:val="00552CA0"/>
    <w:rsid w:val="005756E0"/>
    <w:rsid w:val="00577793"/>
    <w:rsid w:val="0060165B"/>
    <w:rsid w:val="0061433C"/>
    <w:rsid w:val="0081537F"/>
    <w:rsid w:val="008642B9"/>
    <w:rsid w:val="00870C9B"/>
    <w:rsid w:val="008715C4"/>
    <w:rsid w:val="00890F1F"/>
    <w:rsid w:val="00963F7B"/>
    <w:rsid w:val="009D4E59"/>
    <w:rsid w:val="00A352AB"/>
    <w:rsid w:val="00AC3BCD"/>
    <w:rsid w:val="00B332D3"/>
    <w:rsid w:val="00B71358"/>
    <w:rsid w:val="00B756AD"/>
    <w:rsid w:val="00BB61C0"/>
    <w:rsid w:val="00BD168B"/>
    <w:rsid w:val="00BD2A9D"/>
    <w:rsid w:val="00C24E65"/>
    <w:rsid w:val="00C27111"/>
    <w:rsid w:val="00C439F5"/>
    <w:rsid w:val="00C810A7"/>
    <w:rsid w:val="00C946AF"/>
    <w:rsid w:val="00CA0E7B"/>
    <w:rsid w:val="00CC232E"/>
    <w:rsid w:val="00D3703F"/>
    <w:rsid w:val="00D4197A"/>
    <w:rsid w:val="00E077B0"/>
    <w:rsid w:val="00E63788"/>
    <w:rsid w:val="00E90D58"/>
    <w:rsid w:val="00EB23AF"/>
    <w:rsid w:val="00EB7405"/>
    <w:rsid w:val="00EC5939"/>
    <w:rsid w:val="00F16F4A"/>
    <w:rsid w:val="00F462E1"/>
    <w:rsid w:val="00F72AC5"/>
    <w:rsid w:val="00FF2506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B234"/>
  <w15:docId w15:val="{767D7861-803B-45BA-9AFA-F4950575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Unresolved Mention"/>
    <w:basedOn w:val="a0"/>
    <w:uiPriority w:val="99"/>
    <w:semiHidden/>
    <w:unhideWhenUsed/>
    <w:rsid w:val="00BB61C0"/>
    <w:rPr>
      <w:color w:val="605E5C"/>
      <w:shd w:val="clear" w:color="auto" w:fill="E1DFDD"/>
    </w:rPr>
  </w:style>
  <w:style w:type="paragraph" w:styleId="afd">
    <w:name w:val="Balloon Text"/>
    <w:basedOn w:val="a"/>
    <w:link w:val="afe"/>
    <w:uiPriority w:val="99"/>
    <w:semiHidden/>
    <w:unhideWhenUsed/>
    <w:rsid w:val="00E63788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378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/ekonomika-i-imushchestvo/munitsipalnoe-imushchestvo/sostav-sobstvennosti-gorodskogo-okrug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C794-19DD-48DD-AA75-533F4281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Моисеева Евгения Львовна</cp:lastModifiedBy>
  <cp:revision>45</cp:revision>
  <cp:lastPrinted>2026-01-27T11:29:00Z</cp:lastPrinted>
  <dcterms:created xsi:type="dcterms:W3CDTF">2024-12-23T13:07:00Z</dcterms:created>
  <dcterms:modified xsi:type="dcterms:W3CDTF">2026-01-30T09:43:00Z</dcterms:modified>
</cp:coreProperties>
</file>