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vanish/>
        </w:rPr>
      </w:pPr>
      <w:r>
        <w:rPr>
          <w:vanish/>
        </w:rPr>
      </w:r>
      <w:r>
        <w:rPr>
          <w:vanish/>
        </w:rPr>
      </w:r>
    </w:p>
    <w:p>
      <w:pPr>
        <w:rPr>
          <w:vanish/>
        </w:rPr>
      </w:pPr>
      <w:r>
        <w:rPr>
          <w:vanish/>
        </w:rPr>
      </w:r>
      <w:r>
        <w:rPr>
          <w:vanish/>
        </w:rPr>
      </w:r>
    </w:p>
    <w:p>
      <w:pPr>
        <w:rPr>
          <w:vanish/>
        </w:rPr>
      </w:pPr>
      <w:r>
        <w:rPr>
          <w:vanish/>
        </w:rPr>
      </w:r>
      <w:r>
        <w:rPr>
          <w:vanish/>
        </w:rPr>
      </w:r>
    </w:p>
    <w:p>
      <w:pPr>
        <w:rPr>
          <w:vanish/>
        </w:rPr>
      </w:pPr>
      <w:r>
        <w:rPr>
          <w:vanish/>
        </w:rPr>
      </w:r>
      <w:r>
        <w:rPr>
          <w:vanish/>
        </w:rPr>
      </w:r>
    </w:p>
    <w:p>
      <w:pPr>
        <w:rPr>
          <w:vanish/>
        </w:rPr>
      </w:pPr>
      <w:r>
        <w:rPr>
          <w:vanish/>
        </w:rPr>
      </w:r>
      <w:r>
        <w:rPr>
          <w:vanish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765"/>
        <w:ind w:right="-2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</w:r>
      <w:r>
        <w:rPr>
          <w:b/>
          <w:bCs/>
          <w:sz w:val="28"/>
          <w:lang w:val="en-US"/>
        </w:rPr>
      </w:r>
    </w:p>
    <w:p>
      <w:pPr>
        <w:pStyle w:val="765"/>
        <w:ind w:right="-2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</w:r>
      <w:r>
        <w:rPr>
          <w:b/>
          <w:bCs/>
          <w:sz w:val="28"/>
          <w:lang w:val="en-US"/>
        </w:rPr>
      </w:r>
    </w:p>
    <w:p>
      <w:pPr>
        <w:pStyle w:val="765"/>
        <w:ind w:right="-2"/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</w:r>
      <w:r>
        <w:rPr>
          <w:b/>
          <w:bCs/>
          <w:sz w:val="28"/>
          <w:lang w:val="en-US"/>
        </w:rPr>
      </w:r>
    </w:p>
    <w:p>
      <w:pPr>
        <w:pStyle w:val="765"/>
        <w:ind w:right="-2"/>
        <w:jc w:val="both"/>
        <w:rPr>
          <w:bCs/>
          <w:sz w:val="28"/>
        </w:rPr>
      </w:pPr>
      <w:r>
        <w:rPr>
          <w:b/>
          <w:bCs/>
          <w:sz w:val="28"/>
        </w:rPr>
        <w:t xml:space="preserve">      </w:t>
      </w:r>
      <w:r>
        <w:rPr>
          <w:bCs/>
          <w:sz w:val="28"/>
        </w:rPr>
        <w:t xml:space="preserve">                                                                           </w:t>
      </w:r>
      <w:r>
        <w:rPr>
          <w:bCs/>
          <w:sz w:val="28"/>
        </w:rPr>
        <w:t xml:space="preserve">                                                                           </w:t>
      </w:r>
      <w:r>
        <w:rPr>
          <w:bCs/>
          <w:sz w:val="28"/>
        </w:rPr>
      </w:r>
    </w:p>
    <w:p>
      <w:pPr>
        <w:pStyle w:val="765"/>
        <w:ind w:right="-2"/>
        <w:jc w:val="both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765"/>
        <w:ind w:right="-2"/>
        <w:jc w:val="both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 в </w:t>
      </w:r>
      <w:r>
        <w:rPr>
          <w:b/>
        </w:rPr>
        <w:t xml:space="preserve">местны</w:t>
      </w:r>
      <w:r>
        <w:rPr>
          <w:b/>
        </w:rPr>
        <w:t xml:space="preserve">е</w:t>
      </w:r>
      <w:r>
        <w:rPr>
          <w:b/>
        </w:rPr>
        <w:t xml:space="preserve"> норматив</w:t>
      </w:r>
      <w:r>
        <w:rPr>
          <w:b/>
        </w:rPr>
        <w:t xml:space="preserve">ы</w:t>
      </w:r>
      <w:r>
        <w:rPr>
          <w:b/>
        </w:rPr>
        <w:t xml:space="preserve"> градостроительного </w:t>
      </w:r>
      <w:r>
        <w:rPr>
          <w:b/>
        </w:rPr>
        <w:t xml:space="preserve">пр</w:t>
      </w:r>
      <w:r>
        <w:rPr>
          <w:b/>
        </w:rPr>
        <w:t xml:space="preserve">оектирования городского округа город Дзержинск</w:t>
      </w:r>
      <w:r>
        <w:rPr>
          <w:b/>
        </w:rPr>
        <w:t xml:space="preserve">, утвержденные постановлением администрации города Дзержинска</w:t>
      </w:r>
      <w:r>
        <w:rPr>
          <w:b/>
        </w:rPr>
        <w:t xml:space="preserve">                      Нижегородской области </w:t>
      </w:r>
      <w:r>
        <w:rPr>
          <w:b/>
        </w:rPr>
        <w:t xml:space="preserve">от 1</w:t>
      </w:r>
      <w:r>
        <w:rPr>
          <w:b/>
        </w:rPr>
        <w:t xml:space="preserve"> ноября </w:t>
      </w:r>
      <w:r>
        <w:rPr>
          <w:b/>
        </w:rPr>
        <w:t xml:space="preserve">202</w:t>
      </w:r>
      <w:r>
        <w:rPr>
          <w:b/>
        </w:rPr>
        <w:t xml:space="preserve">3</w:t>
      </w:r>
      <w:r>
        <w:rPr>
          <w:b/>
        </w:rPr>
        <w:t xml:space="preserve"> года №</w:t>
      </w:r>
      <w:r>
        <w:rPr>
          <w:b/>
        </w:rPr>
        <w:t xml:space="preserve">4485</w:t>
      </w:r>
      <w:r>
        <w:rPr>
          <w:b/>
        </w:rPr>
      </w:r>
    </w:p>
    <w:p>
      <w:pPr>
        <w:jc w:val="center"/>
      </w:pPr>
      <w:r>
        <w:rPr>
          <w:b/>
          <w:bCs/>
        </w:rPr>
        <w:t xml:space="preserve"> </w:t>
      </w:r>
      <w:r/>
    </w:p>
    <w:p>
      <w:pPr>
        <w:jc w:val="both"/>
      </w:pPr>
      <w:r/>
      <w:r/>
    </w:p>
    <w:p>
      <w:pPr>
        <w:pStyle w:val="765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№131-ФЗ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Нижегородской области от 8 апреля 2008 года №37-З «Об основах регулирования градостроительной деятельности на территории Нижегородской области»,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Нижегородской области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365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региональные нормативы градостроительного проектирования Нижегородской области, утвержденные постановлением Правительства Нижегородской области от 31 декабря 2015 года №921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Уставом городского округа город Дзержинск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подготовки и утверждения местных нормативов градостроительного проектирования городского округа город Дзержинск, утвержденным постановлением главы города Дзержинска Нижегородской о</w:t>
      </w:r>
      <w:r>
        <w:rPr>
          <w:sz w:val="28"/>
          <w:szCs w:val="28"/>
        </w:rPr>
        <w:t xml:space="preserve">бласти от 2 февраля 2022 года №</w:t>
      </w:r>
      <w:r>
        <w:rPr>
          <w:sz w:val="28"/>
          <w:szCs w:val="28"/>
        </w:rPr>
        <w:t xml:space="preserve">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обеспечения устойчивого развития территории городского округа город Дзержинск,</w:t>
      </w:r>
      <w:r>
        <w:t xml:space="preserve"> </w:t>
      </w:r>
      <w:r>
        <w:t xml:space="preserve"> </w:t>
      </w:r>
      <w:r>
        <w:rPr>
          <w:sz w:val="28"/>
        </w:rPr>
        <w:t xml:space="preserve">а</w:t>
      </w:r>
      <w:r>
        <w:rPr>
          <w:sz w:val="28"/>
        </w:rPr>
        <w:t xml:space="preserve">дминистрация города Дзержинска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ПОСТАНОВЛЯЕТ:</w:t>
      </w:r>
      <w:r>
        <w:rPr>
          <w:b/>
        </w:rPr>
        <w:t xml:space="preserve"> </w:t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708"/>
        <w:jc w:val="both"/>
      </w:pPr>
      <w:r>
        <w:t xml:space="preserve">1.</w:t>
      </w:r>
      <w:r>
        <w:t xml:space="preserve"> </w:t>
      </w:r>
      <w:r>
        <w:t xml:space="preserve">Внести в </w:t>
      </w:r>
      <w:r>
        <w:t xml:space="preserve">местные нормативы</w:t>
      </w:r>
      <w:r>
        <w:t xml:space="preserve"> градостроительного проектирования городского округа город Дзержинск</w:t>
      </w:r>
      <w:r>
        <w:t xml:space="preserve">, утвержденные </w:t>
      </w:r>
      <w:r>
        <w:t xml:space="preserve">постановлением администрации города Дзержинска </w:t>
      </w:r>
      <w:r>
        <w:t xml:space="preserve">Нижегородской области </w:t>
      </w:r>
      <w:r>
        <w:t xml:space="preserve">                                        </w:t>
      </w:r>
      <w:r>
        <w:t xml:space="preserve">от 1</w:t>
      </w:r>
      <w:r>
        <w:t xml:space="preserve"> но</w:t>
      </w:r>
      <w:r>
        <w:t xml:space="preserve">ября 202</w:t>
      </w:r>
      <w:r>
        <w:t xml:space="preserve">3</w:t>
      </w:r>
      <w:r>
        <w:t xml:space="preserve"> года №</w:t>
      </w:r>
      <w:r>
        <w:t xml:space="preserve">4485</w:t>
      </w:r>
      <w:r>
        <w:t xml:space="preserve"> (с изменениями от 2</w:t>
      </w:r>
      <w:r>
        <w:t xml:space="preserve">1</w:t>
      </w:r>
      <w:r>
        <w:t xml:space="preserve"> февраля 2025 года </w:t>
      </w:r>
      <w:r>
        <w:t xml:space="preserve">                     </w:t>
      </w:r>
      <w:r>
        <w:t xml:space="preserve">№</w:t>
      </w:r>
      <w:r>
        <w:t xml:space="preserve"> 955)</w:t>
      </w:r>
      <w:r>
        <w:t xml:space="preserve">, следующие изменения</w:t>
      </w:r>
      <w:r>
        <w:t xml:space="preserve">:</w:t>
      </w:r>
      <w:r/>
    </w:p>
    <w:p>
      <w:pPr>
        <w:ind w:firstLine="708"/>
        <w:jc w:val="both"/>
      </w:pPr>
      <w:r>
        <w:t xml:space="preserve">1) </w:t>
      </w:r>
      <w:r>
        <w:t xml:space="preserve">дополнить раздел 1.2</w:t>
      </w:r>
      <w:r>
        <w:t xml:space="preserve"> «Расчетные показатели </w:t>
      </w:r>
      <w:r>
        <w:t xml:space="preserve">об</w:t>
      </w:r>
      <w:r>
        <w:t xml:space="preserve">ъектов градостроительной деятельности</w:t>
      </w:r>
      <w:r>
        <w:t xml:space="preserve">»</w:t>
      </w:r>
      <w:r>
        <w:t xml:space="preserve"> </w:t>
      </w:r>
      <w:r>
        <w:t xml:space="preserve">подразделом 1.2.22 следующего содержания</w:t>
      </w:r>
      <w:r>
        <w:t xml:space="preserve">: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«</w:t>
      </w:r>
      <w:r>
        <w:t xml:space="preserve">1.2</w:t>
      </w:r>
      <w:r>
        <w:t xml:space="preserve">.</w:t>
      </w:r>
      <w:r>
        <w:t xml:space="preserve">22</w:t>
      </w:r>
      <w:r>
        <w:t xml:space="preserve"> Расчетные показатели минимально допустимого уровня </w:t>
      </w:r>
      <w:r>
        <w:t xml:space="preserve">обеспеченности объектами обеспечения пожарной безопасности и расчетные показатели максимально допустимого уровня территориальной доступности таких объектов для населения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/>
      <w:bookmarkStart w:id="0" w:name="sub_1013"/>
      <w:r>
        <w:t xml:space="preserve">1.</w:t>
      </w:r>
      <w:r>
        <w:t xml:space="preserve">2.</w:t>
      </w:r>
      <w:r>
        <w:t xml:space="preserve">22</w:t>
      </w:r>
      <w:r>
        <w:t xml:space="preserve">.1. Размещение подразделений пожарной охраны на территориях городских и сельских населенных пунктов определяется с учетом требований статьи 76 Федерального закона от 22 июля 2008 г</w:t>
      </w:r>
      <w:r>
        <w:t xml:space="preserve">ода №</w:t>
      </w:r>
      <w:r>
        <w:t xml:space="preserve"> 123-ФЗ </w:t>
      </w:r>
      <w:r>
        <w:t xml:space="preserve">«</w:t>
      </w:r>
      <w:r>
        <w:t xml:space="preserve">Технический регламент о требованиях пожарной безопасности</w:t>
      </w:r>
      <w:r>
        <w:t xml:space="preserve">»</w:t>
      </w:r>
      <w:r>
        <w:t xml:space="preserve"> </w:t>
      </w:r>
      <w:r>
        <w:t xml:space="preserve">                        </w:t>
      </w:r>
      <w:r>
        <w:t xml:space="preserve">и </w:t>
      </w:r>
      <w:r>
        <w:t xml:space="preserve">«</w:t>
      </w:r>
      <w:r>
        <w:t xml:space="preserve">СП 11.13130.2009. Свод правил. Места дислокации подразделений пожарной охраны. Порядок и методика определения</w:t>
      </w:r>
      <w:r>
        <w:t xml:space="preserve">»</w:t>
      </w:r>
      <w:r>
        <w:t xml:space="preserve">, утвержденных приказом МЧС РФ от 25 марта 2009 г</w:t>
      </w:r>
      <w:r>
        <w:t xml:space="preserve">ода №</w:t>
      </w:r>
      <w:r>
        <w:t xml:space="preserve"> 181.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/>
      <w:bookmarkStart w:id="1" w:name="sub_1014"/>
      <w:r/>
      <w:bookmarkEnd w:id="0"/>
      <w:r>
        <w:t xml:space="preserve">1.</w:t>
      </w:r>
      <w:r>
        <w:t xml:space="preserve">2.</w:t>
      </w:r>
      <w:r>
        <w:t xml:space="preserve">22</w:t>
      </w:r>
      <w:r>
        <w:t xml:space="preserve">.2. </w:t>
      </w:r>
      <w:r>
        <w:t xml:space="preserve">Минимальное количество специальных пожарных автомобилей (в том числе в кварталах </w:t>
      </w:r>
      <w:r>
        <w:t xml:space="preserve">среднеэтажной</w:t>
      </w:r>
      <w:r>
        <w:t xml:space="preserve"> и многоэтажной застройки), необходимое для укомплектования подразделений пожарной охраны, создаваемых для тушения пожаров и проведения аварийно-спасательных работ в населенных пун</w:t>
      </w:r>
      <w:r>
        <w:t xml:space="preserve">ктах, определяется согласно Методике расчета численности и технической оснащенности подразделений пожарной охраны, создаваемых для тушения пожаров и проведения аварийно-спасательных работ в населенных пунктах, утвержденной приказом МЧС России от 15 октября</w:t>
      </w:r>
      <w:r>
        <w:t xml:space="preserve"> 2021 г</w:t>
      </w:r>
      <w:r>
        <w:t xml:space="preserve">ода №</w:t>
      </w:r>
      <w:r>
        <w:t xml:space="preserve"> 700.</w:t>
      </w:r>
      <w:bookmarkEnd w:id="1"/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При подготовке документов территориального планирования </w:t>
      </w:r>
      <w:r>
        <w:t xml:space="preserve">                         </w:t>
      </w:r>
      <w:r>
        <w:t xml:space="preserve">и документации по планировке территории учитывается состояние </w:t>
      </w:r>
      <w:r>
        <w:t xml:space="preserve">                         </w:t>
      </w:r>
      <w:r>
        <w:t xml:space="preserve">и перспективы размещения объектов защиты, развитие границ территориальных зон, установленных правилами землепользования </w:t>
      </w:r>
      <w:r>
        <w:t xml:space="preserve">                           </w:t>
      </w:r>
      <w:r>
        <w:t xml:space="preserve">и застройки </w:t>
      </w:r>
      <w:r>
        <w:t xml:space="preserve">городского округа город Дзержинск</w:t>
      </w:r>
      <w:r>
        <w:t xml:space="preserve">, за пределами расчетного срока, включая принципиальные решения по территориальному развитию, функциональному зонированию, планировочной структуре, инженерной </w:t>
      </w:r>
      <w:r>
        <w:t xml:space="preserve">                       </w:t>
      </w:r>
      <w:r>
        <w:t xml:space="preserve">и транспортной инфраструктурам, рациональному использованию природных ресурсов и охране окружающей среды.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Об</w:t>
      </w:r>
      <w:r>
        <w:t xml:space="preserve">еспеченность территории пожарными депо осуществляется с учетом существующей и перспективной застройки и подтверждается согласованием с исполнительным органом Нижегородской области, осуществляющим мероприятия в области гражданской обороны, защиты населения </w:t>
      </w:r>
      <w:r>
        <w:t xml:space="preserve">                        </w:t>
      </w:r>
      <w:r>
        <w:t xml:space="preserve">и территорий от чрезвычайных ситуаций, предупреждения и ликвидации чрезвычайных ситуаций, пожарной безопасности и безопасности граждан </w:t>
      </w:r>
      <w:r>
        <w:t xml:space="preserve">                 </w:t>
      </w:r>
      <w:r>
        <w:t xml:space="preserve">на водных объектах на территории Нижегородской области в рамках определенных законодательством полномочий Правительства Нижегородской области.</w:t>
      </w:r>
      <w:r>
        <w:t xml:space="preserve">»;</w:t>
      </w:r>
      <w:r>
        <w:rPr>
          <w:b/>
        </w:rPr>
        <w:t xml:space="preserve">        </w:t>
      </w:r>
      <w:r/>
    </w:p>
    <w:p>
      <w:pPr>
        <w:ind w:firstLine="708"/>
        <w:jc w:val="both"/>
      </w:pPr>
      <w:r/>
      <w:bookmarkStart w:id="2" w:name="sub_211197"/>
      <w:r>
        <w:t xml:space="preserve">2</w:t>
      </w:r>
      <w:r>
        <w:t xml:space="preserve">)</w:t>
      </w:r>
      <w:r>
        <w:t xml:space="preserve"> </w:t>
      </w:r>
      <w:r>
        <w:t xml:space="preserve">в пункте </w:t>
      </w:r>
      <w:bookmarkStart w:id="3" w:name="_Toc132374762"/>
      <w:r>
        <w:t xml:space="preserve">1.2.2.5</w:t>
      </w:r>
      <w:r>
        <w:t xml:space="preserve"> «</w:t>
      </w:r>
      <w:r>
        <w:t xml:space="preserve">Расчетные показатели инфраструктуры велосипедного транспорта</w:t>
      </w:r>
      <w:bookmarkEnd w:id="3"/>
      <w:r>
        <w:t xml:space="preserve">»</w:t>
      </w:r>
      <w:r>
        <w:t xml:space="preserve">:</w:t>
      </w:r>
      <w:r/>
    </w:p>
    <w:p>
      <w:pPr>
        <w:ind w:firstLine="708"/>
        <w:jc w:val="both"/>
      </w:pPr>
      <w:r>
        <w:t xml:space="preserve">а)</w:t>
      </w:r>
      <w:r>
        <w:t xml:space="preserve"> </w:t>
      </w:r>
      <w:r>
        <w:t xml:space="preserve">изложить подпункты 1.2.2.5.1 – 1.2.2.5.7 </w:t>
      </w:r>
      <w:r>
        <w:t xml:space="preserve">в следующей редакции: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  <w:t xml:space="preserve">«</w:t>
      </w:r>
      <w:r>
        <w:t xml:space="preserve">1.2.2.5.1. </w:t>
      </w:r>
      <w:r>
        <w:rPr>
          <w:color w:val="000000"/>
        </w:rPr>
        <w:t xml:space="preserve">На территориях жилых, общественно-деловых, производственных и рекреационных зон следует обеспечивать возможность велосипедного движения, а также движения лиц, использующих </w:t>
      </w:r>
      <w:r>
        <w:rPr>
          <w:color w:val="000000"/>
        </w:rPr>
        <w:t xml:space="preserve">                              </w:t>
      </w:r>
      <w:r>
        <w:rPr>
          <w:color w:val="000000"/>
        </w:rPr>
        <w:t xml:space="preserve">для передвижения средства индивидуальной мобильности.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t xml:space="preserve">1.2.2.5.2.</w:t>
      </w:r>
      <w:r>
        <w:rPr>
          <w:color w:val="000000"/>
        </w:rPr>
        <w:t xml:space="preserve"> При формировании </w:t>
      </w:r>
      <w:r>
        <w:rPr>
          <w:color w:val="000000"/>
        </w:rPr>
        <w:t xml:space="preserve">велоинфраструктуры</w:t>
      </w:r>
      <w:r>
        <w:rPr>
          <w:color w:val="000000"/>
        </w:rPr>
        <w:t xml:space="preserve"> маршруты движения, включая их пересечения, велосипедистов и лиц, использующих </w:t>
      </w:r>
      <w:r>
        <w:rPr>
          <w:color w:val="000000"/>
        </w:rPr>
        <w:t xml:space="preserve">для движения средства индивидуальной мобильности, должны соответствовать требованиям, предъявляемым к системе улиц и дорог </w:t>
      </w:r>
      <w:r>
        <w:rPr>
          <w:color w:val="000000"/>
        </w:rPr>
        <w:t xml:space="preserve">                           </w:t>
      </w:r>
      <w:r>
        <w:rPr>
          <w:color w:val="000000"/>
        </w:rPr>
        <w:t xml:space="preserve">на территории населенного пункта, по которым проложены указанные маршруты.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  <w:t xml:space="preserve">В целях повышения пропускной способности улиц и дорог </w:t>
      </w:r>
      <w:r>
        <w:rPr>
          <w:color w:val="000000"/>
        </w:rPr>
        <w:t xml:space="preserve">                                 </w:t>
      </w:r>
      <w:r>
        <w:rPr>
          <w:color w:val="000000"/>
        </w:rPr>
        <w:t xml:space="preserve">и обеспечения безопасности движения следует руководствоваться условиями доступа транспортных средств.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t xml:space="preserve">1.2.2.5.3.</w:t>
      </w:r>
      <w:r>
        <w:rPr>
          <w:color w:val="000000"/>
        </w:rPr>
        <w:t xml:space="preserve"> </w:t>
      </w:r>
      <w:r>
        <w:rPr>
          <w:color w:val="000000"/>
        </w:rPr>
        <w:t xml:space="preserve">Велокоммуникации</w:t>
      </w:r>
      <w:r>
        <w:rPr>
          <w:color w:val="000000"/>
        </w:rPr>
        <w:t xml:space="preserve">, являющиеся частью поперечного профиля улицы или дороги, следует располагать между проезжей частью улицы или дороги и пешеходными путями.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  <w:t xml:space="preserve">В зонах массового отдыха населения и на других озелененных территориях следует предусматривать велодорожки, изолированные от улиц, дорог и пешеходного движения.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  <w:t xml:space="preserve">Следует разделять пешеходное и велосипедное движения, в том числе движение средств индивидуальной мобильности. </w:t>
      </w:r>
      <w:r>
        <w:rPr>
          <w:color w:val="000000"/>
        </w:rPr>
        <w:t xml:space="preserve">Велокоммуникации</w:t>
      </w:r>
      <w:r>
        <w:rPr>
          <w:color w:val="000000"/>
        </w:rPr>
        <w:t xml:space="preserve"> следует располагать таким образом, чтобы обеспечить минимальное количество пересечений пешеходных и велосипедных потоков.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t xml:space="preserve">1.2.2.5.4.</w:t>
      </w:r>
      <w:r>
        <w:rPr>
          <w:color w:val="000000"/>
        </w:rPr>
        <w:t xml:space="preserve"> По организации движения выделяют </w:t>
      </w:r>
      <w:r>
        <w:rPr>
          <w:color w:val="000000"/>
        </w:rPr>
        <w:t xml:space="preserve">велокоммуникации</w:t>
      </w:r>
      <w:r>
        <w:rPr>
          <w:color w:val="000000"/>
        </w:rPr>
        <w:t xml:space="preserve"> одностороннего и двухстороннего движения. На проезжей части </w:t>
      </w:r>
      <w:r>
        <w:rPr>
          <w:color w:val="000000"/>
        </w:rPr>
        <w:t xml:space="preserve">велокоммуникации</w:t>
      </w:r>
      <w:r>
        <w:rPr>
          <w:color w:val="000000"/>
        </w:rPr>
        <w:t xml:space="preserve"> допускается устраивать только одностороннего движения. При устройстве </w:t>
      </w:r>
      <w:r>
        <w:rPr>
          <w:color w:val="000000"/>
        </w:rPr>
        <w:t xml:space="preserve">велокоммуникаций</w:t>
      </w:r>
      <w:r>
        <w:rPr>
          <w:color w:val="000000"/>
        </w:rPr>
        <w:t xml:space="preserve"> в составе улицы следует предусматривать велосипедные дорожки или велосипедные полосы </w:t>
      </w:r>
      <w:r>
        <w:rPr>
          <w:color w:val="000000"/>
        </w:rPr>
        <w:t xml:space="preserve">                         </w:t>
      </w:r>
      <w:r>
        <w:rPr>
          <w:color w:val="000000"/>
        </w:rPr>
        <w:t xml:space="preserve">для движения в обоих направлениях.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t xml:space="preserve">1.2.2.5.5. </w:t>
      </w:r>
      <w:r>
        <w:rPr>
          <w:color w:val="000000"/>
        </w:rPr>
        <w:t xml:space="preserve">Расчетную скорость для движения велосипедистов и лиц, использующих для передвижения средства индивидуальной мобильности, следует принимать 30 км/ч. На подъездах к пересечениям или подземным проходам расчетная скорость может быть снижена до 10 км/ч.</w:t>
      </w:r>
      <w:r>
        <w:rPr>
          <w:color w:val="000000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  <w:t xml:space="preserve">Количество полос движения назначается в зависимости </w:t>
      </w:r>
      <w:r>
        <w:rPr>
          <w:color w:val="000000"/>
        </w:rPr>
        <w:t xml:space="preserve">                                     </w:t>
      </w:r>
      <w:r>
        <w:rPr>
          <w:color w:val="000000"/>
        </w:rPr>
        <w:t xml:space="preserve">от прогнозируемой интенсивности велосипедного движения из расчета </w:t>
      </w:r>
      <w:r>
        <w:rPr>
          <w:color w:val="000000"/>
        </w:rPr>
        <w:t xml:space="preserve">                         </w:t>
      </w:r>
      <w:r>
        <w:rPr>
          <w:color w:val="000000"/>
        </w:rPr>
        <w:t xml:space="preserve">1500 вел</w:t>
      </w:r>
      <w:r>
        <w:rPr>
          <w:color w:val="000000"/>
        </w:rPr>
        <w:t xml:space="preserve">.</w:t>
      </w:r>
      <w:r>
        <w:rPr>
          <w:color w:val="000000"/>
        </w:rPr>
        <w:t xml:space="preserve">/</w:t>
      </w:r>
      <w:r>
        <w:rPr>
          <w:color w:val="000000"/>
        </w:rPr>
        <w:t xml:space="preserve">ч</w:t>
      </w:r>
      <w:r>
        <w:rPr>
          <w:color w:val="000000"/>
        </w:rPr>
        <w:t xml:space="preserve"> на одну велосипедную полосу при одностороннем движении, 1000 вел./ч на одну велосипедную полосу при двухстороннем движении.</w:t>
      </w:r>
      <w:r>
        <w:rPr>
          <w:color w:val="000000"/>
        </w:rPr>
      </w:r>
    </w:p>
    <w:p>
      <w:pPr>
        <w:ind w:right="-11" w:firstLine="703"/>
        <w:jc w:val="both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  <w:t xml:space="preserve">Ширину </w:t>
      </w:r>
      <w:r>
        <w:rPr>
          <w:color w:val="000000"/>
        </w:rPr>
        <w:t xml:space="preserve">велокоммуникаций</w:t>
      </w:r>
      <w:r>
        <w:rPr>
          <w:color w:val="000000"/>
        </w:rPr>
        <w:t xml:space="preserve"> следует принимать по расчету необходимого количества полос движения. Ширину одной поло</w:t>
      </w:r>
      <w:r>
        <w:rPr>
          <w:color w:val="000000"/>
        </w:rPr>
        <w:t xml:space="preserve">сы следует принимать по таблице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ind w:right="-11" w:firstLine="703"/>
        <w:jc w:val="both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2974"/>
        <w:gridCol w:w="2977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vMerge w:val="restart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велокоммуникации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951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Ширина полосы,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 движении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vMerge w:val="continue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одностороннем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двухстороннем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Полоса, выделенная в пределах полосы движения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Полоса, совмещенная с проезжей частью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Полоса, отделенная от проезжей части парковкой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405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Велосипедная дорожка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77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(*)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начение ширины полосы, которое допускается уменьшать до 1,2 при попутном движении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/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Минимальный допустимый радиус для </w:t>
      </w:r>
      <w:r>
        <w:t xml:space="preserve">велокоммуникаций</w:t>
      </w:r>
      <w:r>
        <w:t xml:space="preserve"> следует принимать по таблице</w:t>
      </w:r>
      <w:r>
        <w:t xml:space="preserve">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/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3465"/>
      </w:tblGrid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Расчетная скорость,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465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радиус,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465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765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465" w:type="dxa"/>
            <w:textDirection w:val="lrTb"/>
            <w:noWrap w:val="false"/>
          </w:tcPr>
          <w:p>
            <w:pPr>
              <w:pStyle w:val="77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/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Продольный уклон </w:t>
      </w:r>
      <w:r>
        <w:t xml:space="preserve">велокоммуникаций</w:t>
      </w:r>
      <w:r>
        <w:t xml:space="preserve"> должен соответствовать продольному уклону проезжей части. При продольных уклонах более 50% следует увеличивать ширину </w:t>
      </w:r>
      <w:r>
        <w:t xml:space="preserve">велокоммуникаций</w:t>
      </w:r>
      <w:r>
        <w:t xml:space="preserve"> в 1,5 раза. Продольные уклоны </w:t>
      </w:r>
      <w:r>
        <w:t xml:space="preserve">велокоммуникаций</w:t>
      </w:r>
      <w:r>
        <w:t xml:space="preserve"> следует назначать не более 70%.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1.2.2.5.</w:t>
      </w:r>
      <w:r>
        <w:t xml:space="preserve">6. Размещение велостоянок и стоянок средств индивидуальной мобильности следует предусматривать у объектов массового посещения, станций скоростного внеуличного транспорта (железнодорожный транспорт, скоростной трамвай), </w:t>
      </w:r>
      <w:r>
        <w:t xml:space="preserve">на транспортно-пересадочных узлах и тротуарах                (при условии обеспечения пропускной способности). Велостоянки и стоянки средств индивидуальной мобильности допускается располагать рядом друг             с другом.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Парковочные устройства, велосипеды и средства индивидуальной мобильности не должны создавать препятствий для движения пешеходов.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1.2.2.5.</w:t>
      </w:r>
      <w:r>
        <w:t xml:space="preserve">7. 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назначения.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</w:pPr>
      <w:r>
        <w:t xml:space="preserve">Для многофункциональных объектов расчет следует проводить раздельно в зависимости от параметров каждой функциональной части объекта, а затем суммировать для всего объекта</w:t>
      </w:r>
      <w:r>
        <w:t xml:space="preserve">.</w:t>
      </w:r>
      <w:r>
        <w:t xml:space="preserve">»</w:t>
      </w:r>
      <w:r>
        <w:t xml:space="preserve">;</w:t>
      </w:r>
      <w:r/>
    </w:p>
    <w:p>
      <w:pPr>
        <w:ind w:right="-9" w:firstLine="705"/>
        <w:jc w:val="both"/>
        <w:spacing w:line="239" w:lineRule="auto"/>
        <w:widowControl w:val="off"/>
        <w:tabs>
          <w:tab w:val="left" w:pos="1709" w:leader="none"/>
          <w:tab w:val="left" w:pos="3703" w:leader="none"/>
          <w:tab w:val="left" w:pos="4168" w:leader="none"/>
          <w:tab w:val="left" w:pos="6117" w:leader="none"/>
          <w:tab w:val="left" w:pos="6582" w:leader="none"/>
          <w:tab w:val="left" w:pos="8620" w:leader="none"/>
        </w:tabs>
        <w:rPr>
          <w:color w:val="000000"/>
        </w:rPr>
      </w:pPr>
      <w:r>
        <w:t xml:space="preserve">б</w:t>
      </w:r>
      <w:r>
        <w:t xml:space="preserve">) </w:t>
      </w:r>
      <w:r>
        <w:t xml:space="preserve">дополнить</w:t>
      </w:r>
      <w:r>
        <w:t xml:space="preserve"> подпункт </w:t>
      </w:r>
      <w:r>
        <w:t xml:space="preserve">1.2.2.5.</w:t>
      </w:r>
      <w:r>
        <w:t xml:space="preserve">8 </w:t>
      </w:r>
      <w:r>
        <w:rPr>
          <w:color w:val="000000"/>
        </w:rPr>
        <w:t xml:space="preserve">абзацем следующего содержания</w:t>
      </w:r>
      <w:r>
        <w:rPr>
          <w:color w:val="000000"/>
        </w:rPr>
        <w:t xml:space="preserve">:</w:t>
      </w:r>
      <w:r>
        <w:rPr>
          <w:color w:val="000000"/>
        </w:rPr>
      </w:r>
    </w:p>
    <w:p>
      <w:pPr>
        <w:ind w:firstLine="708"/>
        <w:jc w:val="both"/>
        <w:rPr>
          <w:color w:val="000000"/>
        </w:rPr>
      </w:pPr>
      <w:r>
        <w:t xml:space="preserve">«</w:t>
      </w:r>
      <w:r>
        <w:t xml:space="preserve">Минимальное количество парковочных мест для средств индивидуальной мобильности следует определять по расчету согласно </w:t>
      </w:r>
      <w:r>
        <w:t xml:space="preserve">«</w:t>
      </w:r>
      <w:r>
        <w:t xml:space="preserve">Приложению</w:t>
      </w:r>
      <w:r>
        <w:t xml:space="preserve"> Т</w:t>
      </w:r>
      <w:r>
        <w:t xml:space="preserve">»</w:t>
      </w:r>
      <w:r>
        <w:t xml:space="preserve"> к </w:t>
      </w:r>
      <w:r>
        <w:t xml:space="preserve">«</w:t>
      </w:r>
      <w:r>
        <w:t xml:space="preserve">СП 396.1325800.2018. Свод правил. Улицы и дороги населенных пунктов. Правила градостроительного проектирования</w:t>
      </w:r>
      <w:r>
        <w:t xml:space="preserve">»</w:t>
      </w:r>
      <w:r>
        <w:t xml:space="preserve">, </w:t>
      </w:r>
      <w:r>
        <w:t xml:space="preserve">утвержденному</w:t>
      </w:r>
      <w:r>
        <w:t xml:space="preserve"> приказом Министерства строительства и жилищно-коммунального хозяйства Российской Федерации от 1 августа 2018 г</w:t>
      </w:r>
      <w:r>
        <w:t xml:space="preserve">ода                  №</w:t>
      </w:r>
      <w:r>
        <w:t xml:space="preserve"> 474/пр.</w:t>
      </w:r>
      <w:r>
        <w:t xml:space="preserve">»</w:t>
      </w:r>
      <w:r>
        <w:t xml:space="preserve">.</w:t>
      </w:r>
      <w:r>
        <w:rPr>
          <w:color w:val="000000"/>
        </w:rPr>
      </w:r>
    </w:p>
    <w:p>
      <w:pPr>
        <w:ind w:firstLine="708"/>
        <w:jc w:val="both"/>
      </w:pPr>
      <w:r>
        <w:t xml:space="preserve">3</w:t>
      </w:r>
      <w:r>
        <w:t xml:space="preserve">)</w:t>
      </w:r>
      <w:r>
        <w:t xml:space="preserve"> </w:t>
      </w:r>
      <w:r>
        <w:t xml:space="preserve">изложить </w:t>
      </w:r>
      <w:r>
        <w:t xml:space="preserve">пункт</w:t>
      </w:r>
      <w:r>
        <w:t xml:space="preserve">ы</w:t>
      </w:r>
      <w:r>
        <w:t xml:space="preserve"> 1.2.21.</w:t>
      </w:r>
      <w:r>
        <w:t xml:space="preserve">17</w:t>
      </w:r>
      <w:r>
        <w:t xml:space="preserve"> и 1.2.21.18</w:t>
      </w:r>
      <w:r>
        <w:t xml:space="preserve"> </w:t>
      </w:r>
      <w:r>
        <w:t xml:space="preserve">подраздел</w:t>
      </w:r>
      <w:r>
        <w:t xml:space="preserve">а</w:t>
      </w:r>
      <w:r>
        <w:t xml:space="preserve"> </w:t>
      </w:r>
      <w:r>
        <w:t xml:space="preserve">1.2.21</w:t>
      </w:r>
      <w:r>
        <w:t xml:space="preserve"> «</w:t>
      </w:r>
      <w:r>
        <w:t xml:space="preserve">Параметры застройки жилых зон. Параметры элементов планировочной структуры</w:t>
      </w:r>
      <w:r>
        <w:t xml:space="preserve">» </w:t>
      </w:r>
      <w:r>
        <w:t xml:space="preserve">                           </w:t>
      </w:r>
      <w:r>
        <w:t xml:space="preserve">в следующей редакции:</w:t>
      </w:r>
      <w:r/>
    </w:p>
    <w:p>
      <w:pPr>
        <w:ind w:firstLine="708"/>
        <w:jc w:val="both"/>
      </w:pPr>
      <w:r>
        <w:t xml:space="preserve">«</w:t>
      </w:r>
      <w:r>
        <w:t xml:space="preserve">1.2.21</w:t>
      </w:r>
      <w:r>
        <w:t xml:space="preserve">.</w:t>
      </w:r>
      <w:r>
        <w:t xml:space="preserve">17. 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 </w:t>
      </w:r>
      <w:r>
        <w:t xml:space="preserve">                         </w:t>
      </w:r>
      <w:r>
        <w:t xml:space="preserve">и относительно границ территории инвестиционного развития при условии наличия границ такой территории в </w:t>
      </w:r>
      <w:r>
        <w:t xml:space="preserve">мастер-плане</w:t>
      </w:r>
      <w:r>
        <w:t xml:space="preserve"> территории, в отношении которой планируется деятельность по комплексному развитию (далее - мастер-план). </w:t>
      </w:r>
      <w:r>
        <w:t xml:space="preserve">При этом максимальное значение коэффициента плотности </w:t>
      </w:r>
      <w:r>
        <w:t xml:space="preserve">застройки в границах таких территорий не нормируется при условии, что </w:t>
      </w:r>
      <w:r>
        <w:t xml:space="preserve">                 </w:t>
      </w:r>
      <w:r>
        <w:t xml:space="preserve">в мастер-план</w:t>
      </w:r>
      <w:r>
        <w:t xml:space="preserve">е согласованном протокольным решением регионального штаба по вопросам реализации градостроительной политики на территории Нижегородской области, предусмотрены с учетом имеющейся мощности объекты повседневного, периодического и эпизодического обслуживания, </w:t>
      </w:r>
      <w:r>
        <w:t xml:space="preserve">              </w:t>
      </w:r>
      <w:r>
        <w:t xml:space="preserve">в том числе социального назначения, объекты транспортной и инженерной инфраструктуры, которые будут обеспечивать потребность в таких объектах</w:t>
      </w:r>
      <w:r>
        <w:t xml:space="preserve"> в границах </w:t>
      </w:r>
      <w:r>
        <w:t xml:space="preserve">территории комплексного развития и (или) территории инвестиционного развития, а при отсутствии возможности размещения таких объектов в границах территории комплексного развития и (или) территории инвестиционного развития определены места для их размещения </w:t>
      </w:r>
      <w:r>
        <w:t xml:space="preserve">                          </w:t>
      </w:r>
      <w:r>
        <w:t xml:space="preserve">и необходимая мощность согласно выполненным расчетам.</w:t>
      </w:r>
      <w:r/>
    </w:p>
    <w:p>
      <w:pPr>
        <w:ind w:firstLine="708"/>
        <w:jc w:val="both"/>
      </w:pPr>
      <w:r>
        <w:t xml:space="preserve">1.2.21</w:t>
      </w:r>
      <w:r>
        <w:t xml:space="preserve">.18. При размещении объекта капитального строительства </w:t>
      </w:r>
      <w:r>
        <w:t xml:space="preserve">                       </w:t>
      </w:r>
      <w:r>
        <w:t xml:space="preserve">без разработки документации по планировке территории расчет коэффициента плотности застройки производится относительно границ земельного участка.</w:t>
      </w:r>
      <w:r/>
    </w:p>
    <w:p>
      <w:pPr>
        <w:ind w:firstLine="708"/>
        <w:jc w:val="both"/>
      </w:pPr>
      <w:r>
        <w:t xml:space="preserve">При размещении объекта капитального строительства в границах земельного участка, предоставленного юридическому лицу в аренду </w:t>
      </w:r>
      <w:r>
        <w:t xml:space="preserve">                     </w:t>
      </w:r>
      <w:r>
        <w:t xml:space="preserve">без проведения торгов в соответствии с пунктами 4, 4</w:t>
      </w:r>
      <w:r>
        <w:t xml:space="preserve">.</w:t>
      </w:r>
      <w:r>
        <w:t xml:space="preserve">1</w:t>
      </w:r>
      <w:r>
        <w:t xml:space="preserve">, 5 или 10 части 4 статьи 8</w:t>
      </w:r>
      <w:r>
        <w:t xml:space="preserve">.</w:t>
      </w:r>
      <w:r>
        <w:t xml:space="preserve">1</w:t>
      </w:r>
      <w:r>
        <w:t xml:space="preserve"> Закона Нижегородской области от 13 декабря 2005 г</w:t>
      </w:r>
      <w:r>
        <w:t xml:space="preserve">ода №</w:t>
      </w:r>
      <w:r>
        <w:t xml:space="preserve"> 192-З </w:t>
      </w:r>
      <w:r>
        <w:t xml:space="preserve">«</w:t>
      </w:r>
      <w:r>
        <w:t xml:space="preserve">О регулировании земельных отношений в Нижегородской области</w:t>
      </w:r>
      <w:r>
        <w:t xml:space="preserve">»</w:t>
      </w:r>
      <w:r>
        <w:t xml:space="preserve">, допускается производить расчет коэффициента плотности застройки относительно границ такого земельного участка.</w:t>
      </w:r>
      <w:r>
        <w:t xml:space="preserve"> Максимальное значение коэффициента плотности застройки в границах такого земельного участка </w:t>
      </w:r>
      <w:r>
        <w:t xml:space="preserve">                     </w:t>
      </w:r>
      <w:r>
        <w:t xml:space="preserve">за вычетом участков общеобразовательных организаций, дошкольных образовательных организаций и объектов здравоохранения может быть увеличено до 3,0, но не более, при выполнении одного из следующих условий за счет внебюджетных средств (средств инвестора):</w:t>
      </w:r>
      <w:r/>
    </w:p>
    <w:p>
      <w:pPr>
        <w:ind w:firstLine="708"/>
        <w:jc w:val="both"/>
      </w:pPr>
      <w:r>
        <w:t xml:space="preserve">- расселение ветхого и (или) аварийного жилья;</w:t>
      </w:r>
      <w:r/>
    </w:p>
    <w:p>
      <w:pPr>
        <w:ind w:firstLine="708"/>
        <w:jc w:val="both"/>
      </w:pPr>
      <w:r>
        <w:t xml:space="preserve">- выполнение мероприятий в части ликвидации участков загрязнения (ликвидация экологического ущерба);</w:t>
      </w:r>
      <w:r/>
    </w:p>
    <w:p>
      <w:pPr>
        <w:ind w:firstLine="708"/>
        <w:jc w:val="both"/>
      </w:pPr>
      <w:r>
        <w:t xml:space="preserve">- выполнение мероприятий по созданию общественных пространств или благоустроенных территорий общего пользования (скверы, парки, бульвары и т.д.) сверх нормативной потребности, рассчитанной </w:t>
      </w:r>
      <w:r>
        <w:t xml:space="preserve">                           </w:t>
      </w:r>
      <w:r>
        <w:t xml:space="preserve">в соответствии с подразделом 2.3 настоящих Нормативов;</w:t>
      </w:r>
      <w:r/>
    </w:p>
    <w:p>
      <w:pPr>
        <w:ind w:firstLine="708"/>
        <w:jc w:val="both"/>
      </w:pPr>
      <w:r>
        <w:t xml:space="preserve">- создание объектов социальной инфраструктуры в соответствии </w:t>
      </w:r>
      <w:r>
        <w:t xml:space="preserve">                        </w:t>
      </w:r>
      <w:r>
        <w:t xml:space="preserve">с нормативной потребностью при подтверждении имеющегося дефицита </w:t>
      </w:r>
      <w:r>
        <w:t xml:space="preserve">                  </w:t>
      </w:r>
      <w:r>
        <w:t xml:space="preserve">(в части объектов образования и здравоохранения);</w:t>
      </w:r>
      <w:r/>
    </w:p>
    <w:p>
      <w:pPr>
        <w:ind w:firstLine="708"/>
        <w:jc w:val="both"/>
      </w:pPr>
      <w:r>
        <w:t xml:space="preserve">- размещение более 90% расчетного количества парковочных мест постоянного хранения в подземных стоянках до примен</w:t>
      </w:r>
      <w:r>
        <w:t xml:space="preserve">ения понижающего коэффициента</w:t>
      </w:r>
      <w:r>
        <w:t xml:space="preserve">.»;</w:t>
      </w:r>
      <w:r/>
    </w:p>
    <w:p>
      <w:pPr>
        <w:ind w:firstLine="708"/>
        <w:jc w:val="both"/>
      </w:pPr>
      <w:r/>
      <w:bookmarkStart w:id="4" w:name="sub_211180"/>
      <w:r>
        <w:t xml:space="preserve">4</w:t>
      </w:r>
      <w:r>
        <w:t xml:space="preserve">)</w:t>
      </w:r>
      <w:r>
        <w:t xml:space="preserve"> </w:t>
      </w:r>
      <w:r>
        <w:t xml:space="preserve">подраздел 1.3.1 «Основные понятия и термины»</w:t>
      </w:r>
      <w:r>
        <w:t xml:space="preserve">:</w:t>
      </w:r>
      <w:r>
        <w:t xml:space="preserve"> </w:t>
      </w:r>
      <w:r/>
    </w:p>
    <w:p>
      <w:pPr>
        <w:ind w:firstLine="708"/>
        <w:jc w:val="both"/>
      </w:pPr>
      <w:r>
        <w:t xml:space="preserve">а) дополнить </w:t>
      </w:r>
      <w:r>
        <w:t xml:space="preserve">после абзаца третьего абзацами следующего содержания:</w:t>
      </w:r>
      <w:r/>
    </w:p>
    <w:p>
      <w:pPr>
        <w:ind w:firstLine="708"/>
        <w:jc w:val="both"/>
      </w:pPr>
      <w:r>
        <w:t xml:space="preserve">«</w:t>
      </w:r>
      <w:r>
        <w:rPr>
          <w:b/>
          <w:bCs/>
        </w:rPr>
        <w:t xml:space="preserve">велокоммуникации</w:t>
      </w:r>
      <w:r>
        <w:t xml:space="preserve"> - коммуникации в виде велосипедных дорожек или велосипедных полос, предназначенные для движения велосипедистов и </w:t>
      </w:r>
      <w:r>
        <w:t xml:space="preserve">лиц, использующих для передвижения средства индивидуальной мобильности;</w:t>
      </w:r>
      <w:r/>
    </w:p>
    <w:p>
      <w:pPr>
        <w:ind w:firstLine="708"/>
        <w:jc w:val="both"/>
      </w:pPr>
      <w:r>
        <w:rPr>
          <w:b/>
          <w:bCs/>
        </w:rPr>
        <w:t xml:space="preserve">средство индивидуальной мобильности</w:t>
      </w:r>
      <w:r>
        <w:t xml:space="preserve">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>
        <w:t xml:space="preserve">электросамокаты</w:t>
      </w:r>
      <w:r>
        <w:t xml:space="preserve">, </w:t>
      </w:r>
      <w:r>
        <w:t xml:space="preserve">электроскейтборды</w:t>
      </w:r>
      <w:r>
        <w:t xml:space="preserve">, </w:t>
      </w:r>
      <w:r>
        <w:t xml:space="preserve">гироскутеры</w:t>
      </w:r>
      <w:r>
        <w:t xml:space="preserve">, </w:t>
      </w:r>
      <w:r>
        <w:t xml:space="preserve">сигвеи</w:t>
      </w:r>
      <w:r>
        <w:t xml:space="preserve">, </w:t>
      </w:r>
      <w:r>
        <w:t xml:space="preserve">моноколеса</w:t>
      </w:r>
      <w:r>
        <w:t xml:space="preserve"> и иные аналогичные средства)</w:t>
      </w:r>
      <w:r>
        <w:t xml:space="preserve">;»</w:t>
      </w:r>
      <w:r>
        <w:t xml:space="preserve">;</w:t>
      </w:r>
      <w:r/>
    </w:p>
    <w:p>
      <w:pPr>
        <w:ind w:firstLine="708"/>
        <w:jc w:val="both"/>
      </w:pPr>
      <w:r>
        <w:t xml:space="preserve">б</w:t>
      </w:r>
      <w:r>
        <w:t xml:space="preserve">) изложить абзац</w:t>
      </w:r>
      <w:r>
        <w:t xml:space="preserve"> шестой</w:t>
      </w:r>
      <w:r>
        <w:t xml:space="preserve"> </w:t>
      </w:r>
      <w:r>
        <w:t xml:space="preserve">в следующей редакции:</w:t>
      </w:r>
      <w:r/>
    </w:p>
    <w:p>
      <w:pPr>
        <w:ind w:firstLine="708"/>
        <w:jc w:val="both"/>
      </w:pPr>
      <w:r>
        <w:t xml:space="preserve">«</w:t>
      </w:r>
      <w:r>
        <w:rPr>
          <w:rStyle w:val="777"/>
        </w:rPr>
        <w:t xml:space="preserve">велосипедная дорожка (далее также - велодорожка)</w:t>
      </w:r>
      <w:r>
        <w:t xml:space="preserve"> - обособленная дорога, расположенная вне проезжей части непосредственно возле тротуара или возле проезжей части, с отделением движения велосипедистов и лиц, использующих для передвижения средства индивид</w:t>
      </w:r>
      <w:r>
        <w:t xml:space="preserve">уальной мобильности, от тротуара и (или) проезжей части, в том числе с помощью технических средств организации дорожного движения, элементов благоустройства, либо изолированная дорога, расположенная вне проезжей части и тротуара, предназначенная только для</w:t>
      </w:r>
      <w:r>
        <w:t xml:space="preserve"> движения велосипедистов и лиц, использующих для передвижения средства индивидуальной мобильности</w:t>
      </w:r>
      <w:r>
        <w:t xml:space="preserve">;»</w:t>
      </w:r>
      <w:r>
        <w:t xml:space="preserve">;</w:t>
      </w:r>
      <w:r/>
    </w:p>
    <w:p>
      <w:pPr>
        <w:ind w:firstLine="708"/>
        <w:jc w:val="both"/>
      </w:pPr>
      <w:r>
        <w:t xml:space="preserve">в</w:t>
      </w:r>
      <w:r>
        <w:t xml:space="preserve">) дополнить </w:t>
      </w:r>
      <w:bookmarkStart w:id="5" w:name="_GoBack"/>
      <w:r/>
      <w:bookmarkEnd w:id="5"/>
      <w:r>
        <w:t xml:space="preserve">после абзаца восьмого абзацами следующего содержания:</w:t>
      </w:r>
      <w:r/>
    </w:p>
    <w:p>
      <w:pPr>
        <w:ind w:firstLine="708"/>
        <w:jc w:val="both"/>
      </w:pPr>
      <w:r>
        <w:t xml:space="preserve">«</w:t>
      </w:r>
      <w:r>
        <w:rPr>
          <w:b/>
          <w:bCs/>
        </w:rPr>
        <w:t xml:space="preserve">велосипедная полоса (далее - </w:t>
      </w:r>
      <w:r>
        <w:rPr>
          <w:b/>
          <w:bCs/>
        </w:rPr>
        <w:t xml:space="preserve">велополосы</w:t>
      </w:r>
      <w:r>
        <w:rPr>
          <w:b/>
          <w:bCs/>
        </w:rPr>
        <w:t xml:space="preserve">)</w:t>
      </w:r>
      <w:r>
        <w:t xml:space="preserve"> - полоса, выделенная на проезжей части дороги или улицы разметкой и предназначенная исключительно для движения велосипедистов и лиц, использующих для передвижения средства индивидуальной мобильности;</w:t>
      </w:r>
      <w:r/>
    </w:p>
    <w:p>
      <w:pPr>
        <w:ind w:firstLine="708"/>
        <w:jc w:val="both"/>
      </w:pPr>
      <w:r>
        <w:rPr>
          <w:b/>
          <w:bCs/>
        </w:rPr>
        <w:t xml:space="preserve">поперечный профиль</w:t>
      </w:r>
      <w:r>
        <w:t xml:space="preserve"> - поперечное сечение улицы или дороги, которое, в зависимости от категории, включает: проезжую часть, боковые проезды, тротуары (пешеходные, технические), </w:t>
      </w:r>
      <w:r>
        <w:t xml:space="preserve">велокоммуникации</w:t>
      </w:r>
      <w:r>
        <w:t xml:space="preserve">, полосы озеленения, полосы размещения ограждений, полосы безопасности, краевые и разделительные полосы, переходно-скоростные полосы, зоны озеленения, обочины, а также зоны для размещения инженерных коммуникаций и другие элементы;»</w:t>
      </w:r>
      <w:r>
        <w:t xml:space="preserve">.</w:t>
      </w:r>
      <w:bookmarkEnd w:id="2"/>
      <w:bookmarkEnd w:id="4"/>
      <w:r/>
    </w:p>
    <w:p>
      <w:pPr>
        <w:ind w:firstLine="709"/>
        <w:jc w:val="both"/>
        <w:rPr>
          <w:color w:val="000000"/>
        </w:rPr>
      </w:pPr>
      <w:r>
        <w:t xml:space="preserve">2</w:t>
      </w:r>
      <w:r>
        <w:t xml:space="preserve">. </w:t>
      </w:r>
      <w:r>
        <w:rPr>
          <w:color w:val="000000"/>
        </w:rPr>
        <w:t xml:space="preserve">Департаменту градостроительной деятельности, строительства </w:t>
      </w:r>
      <w:r>
        <w:rPr>
          <w:color w:val="000000"/>
        </w:rPr>
        <w:t xml:space="preserve">                       </w:t>
      </w:r>
      <w:r>
        <w:rPr>
          <w:color w:val="000000"/>
        </w:rPr>
        <w:t xml:space="preserve">и охраны объектов культурного наследия:</w:t>
      </w:r>
      <w:r>
        <w:rPr>
          <w:color w:val="000000"/>
        </w:rPr>
      </w:r>
    </w:p>
    <w:p>
      <w:pPr>
        <w:ind w:firstLine="709"/>
        <w:jc w:val="both"/>
      </w:pPr>
      <w:r>
        <w:rPr>
          <w:color w:val="000000"/>
        </w:rPr>
        <w:t xml:space="preserve">1)</w:t>
      </w:r>
      <w:r>
        <w:t xml:space="preserve"> </w:t>
      </w:r>
      <w:r>
        <w:t xml:space="preserve">направить</w:t>
      </w:r>
      <w:r>
        <w:t xml:space="preserve"> </w:t>
      </w:r>
      <w:r>
        <w:t xml:space="preserve">изменения в </w:t>
      </w:r>
      <w:r>
        <w:rPr>
          <w:szCs w:val="34"/>
        </w:rPr>
        <w:t xml:space="preserve">местные нормативы градостроительного проектирования городского округа город Дзержинск</w:t>
      </w:r>
      <w:r>
        <w:t xml:space="preserve"> </w:t>
      </w:r>
      <w:r>
        <w:t xml:space="preserve">в </w:t>
      </w:r>
      <w:r>
        <w:rPr>
          <w:szCs w:val="34"/>
        </w:rPr>
        <w:t xml:space="preserve">уполномоченный орган исполнительной власти Нижегородской области в сфере градостроительной деятельности</w:t>
      </w:r>
      <w:r>
        <w:t xml:space="preserve"> для размещения </w:t>
      </w:r>
      <w:r>
        <w:t xml:space="preserve">в Федеральной государственной информационной системе территориального планирования </w:t>
      </w:r>
      <w:r>
        <w:t xml:space="preserve">в течение двух дней</w:t>
      </w:r>
      <w:r>
        <w:t xml:space="preserve"> со дня их утверждения;</w:t>
      </w:r>
      <w:r/>
    </w:p>
    <w:p>
      <w:pPr>
        <w:ind w:firstLine="709"/>
        <w:jc w:val="both"/>
        <w:rPr>
          <w:szCs w:val="34"/>
        </w:rPr>
      </w:pPr>
      <w:r>
        <w:t xml:space="preserve">2) </w:t>
      </w:r>
      <w:r>
        <w:t xml:space="preserve">разместить </w:t>
      </w:r>
      <w:r>
        <w:t xml:space="preserve">изменения</w:t>
      </w:r>
      <w:r>
        <w:t xml:space="preserve"> в </w:t>
      </w:r>
      <w:r>
        <w:rPr>
          <w:szCs w:val="34"/>
        </w:rPr>
        <w:t xml:space="preserve">местные нормативы градостроительного проектирования городского округа город Дзержинск</w:t>
      </w:r>
      <w:r>
        <w:rPr>
          <w:szCs w:val="34"/>
        </w:rPr>
        <w:t xml:space="preserve"> в течение </w:t>
      </w:r>
      <w:r>
        <w:rPr>
          <w:szCs w:val="34"/>
        </w:rPr>
        <w:t xml:space="preserve">десяти</w:t>
      </w:r>
      <w:r>
        <w:rPr>
          <w:szCs w:val="34"/>
        </w:rPr>
        <w:t xml:space="preserve"> дней </w:t>
      </w:r>
      <w:r>
        <w:t xml:space="preserve">со дня</w:t>
      </w:r>
      <w:r>
        <w:t xml:space="preserve"> </w:t>
      </w:r>
      <w:r>
        <w:t xml:space="preserve">их утверждения</w:t>
      </w:r>
      <w:r>
        <w:rPr>
          <w:szCs w:val="34"/>
        </w:rPr>
        <w:t xml:space="preserve"> </w:t>
      </w:r>
      <w:r>
        <w:rPr>
          <w:szCs w:val="34"/>
        </w:rPr>
        <w:t xml:space="preserve">в</w:t>
      </w:r>
      <w:r>
        <w:rPr>
          <w:szCs w:val="34"/>
        </w:rPr>
        <w:t xml:space="preserve"> Государственной информационной системе обеспечения градостроительной деятельности Нижегородской области</w:t>
      </w:r>
      <w:r>
        <w:rPr>
          <w:szCs w:val="34"/>
        </w:rPr>
        <w:t xml:space="preserve">. </w:t>
      </w:r>
      <w:r>
        <w:rPr>
          <w:szCs w:val="34"/>
        </w:rPr>
      </w:r>
    </w:p>
    <w:p>
      <w:pPr>
        <w:pStyle w:val="765"/>
        <w:ind w:right="-2" w:firstLine="708"/>
        <w:jc w:val="both"/>
        <w:rPr>
          <w:sz w:val="28"/>
          <w:szCs w:val="28"/>
        </w:rPr>
      </w:pPr>
      <w:r>
        <w:rPr>
          <w:bCs/>
          <w:sz w:val="28"/>
        </w:rPr>
        <w:t xml:space="preserve">3</w:t>
      </w:r>
      <w:r>
        <w:rPr>
          <w:bCs/>
          <w:sz w:val="28"/>
        </w:rPr>
        <w:t xml:space="preserve">. </w:t>
      </w:r>
      <w:r>
        <w:rPr>
          <w:sz w:val="28"/>
          <w:szCs w:val="28"/>
        </w:rPr>
        <w:t xml:space="preserve">Департаменту информаци</w:t>
      </w:r>
      <w:r>
        <w:rPr>
          <w:sz w:val="28"/>
          <w:szCs w:val="28"/>
        </w:rPr>
        <w:t xml:space="preserve">онной политики и взаимодействия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со средствами массовой информации опубликовать и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информационно-телекоммуникационной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администрации города.</w:t>
      </w:r>
      <w:r>
        <w:rPr>
          <w:sz w:val="28"/>
          <w:szCs w:val="28"/>
        </w:rPr>
      </w:r>
    </w:p>
    <w:p>
      <w:pPr>
        <w:pStyle w:val="765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тановление вступает в силу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момента 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65"/>
        <w:ind w:right="-2" w:firstLine="708"/>
        <w:jc w:val="both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 xml:space="preserve">Контроль за</w:t>
      </w:r>
      <w:r>
        <w:rPr>
          <w:bCs/>
          <w:sz w:val="28"/>
        </w:rPr>
        <w:t xml:space="preserve"> исполнением постановления возложить на заместителя главы администрации городского округа</w:t>
      </w:r>
      <w:r>
        <w:rPr>
          <w:bCs/>
          <w:sz w:val="28"/>
        </w:rPr>
        <w:t xml:space="preserve">, курирующего вопросы муниципального имущества, строительства и архитектуры.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Глава города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</w:t>
      </w:r>
      <w:r>
        <w:rPr>
          <w:b/>
        </w:rPr>
        <w:t xml:space="preserve">М.П.</w:t>
      </w:r>
      <w:r>
        <w:rPr>
          <w:b/>
        </w:rPr>
        <w:t xml:space="preserve"> </w:t>
      </w:r>
      <w:r>
        <w:rPr>
          <w:b/>
        </w:rPr>
        <w:t xml:space="preserve">Клинков</w:t>
      </w:r>
      <w:r>
        <w:rPr>
          <w:b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851" w:left="1701" w:header="567" w:footer="62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03032881"/>
      <w:docPartObj>
        <w:docPartGallery w:val="Page Numbers (Top of Page)"/>
        <w:docPartUnique w:val="true"/>
      </w:docPartObj>
      <w:rPr/>
    </w:sdtPr>
    <w:sdtContent>
      <w:p>
        <w:pPr>
          <w:pStyle w:val="7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tabs>
        <w:tab w:val="clear" w:pos="4677" w:leader="none"/>
        <w:tab w:val="clear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-8626</wp:posOffset>
              </wp:positionH>
              <wp:positionV relativeFrom="page">
                <wp:posOffset>362308</wp:posOffset>
              </wp:positionV>
              <wp:extent cx="7558638" cy="2829465"/>
              <wp:effectExtent l="0" t="0" r="4445" b="9525"/>
              <wp:wrapNone/>
              <wp:docPr id="1" name="Text Box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8638" cy="2829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6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525600" cy="792000"/>
                                    <wp:effectExtent l="0" t="0" r="8255" b="8255"/>
                                    <wp:docPr id="2" name="Рисунок 71" descr="O:\Герб\ГЕРБ для БЛАНКОВ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O:\Герб\ГЕРБ для БЛАНКОВ.png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5600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0" o:spid="_x0000_s0" type="#_x0000_t75" style="width:41.39pt;height:62.36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b/>
                              <w:sz w:val="36"/>
                              <w:szCs w:val="36"/>
                              <w:lang w:val="en-US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Администраци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я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города Дзержинска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jc w:val="center"/>
                            <w:spacing w:before="240" w:line="264" w:lineRule="auto"/>
                            <w:rPr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  <w:t xml:space="preserve">ПОСТАНОВЛЕНИЕ</w:t>
                          </w:r>
                          <w:r>
                            <w:rPr>
                              <w:b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ind w:left="1985" w:right="-796"/>
                            <w:jc w:val="center"/>
                            <w:spacing w:line="264" w:lineRule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</w:r>
                          <w:r>
                            <w:rPr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ind w:firstLine="1701"/>
                            <w:spacing w:before="240"/>
                            <w:tabs>
                              <w:tab w:val="left" w:pos="-1134" w:leader="none"/>
                              <w:tab w:val="left" w:pos="-851" w:leader="none"/>
                            </w:tabs>
                          </w:pPr>
                          <w:r>
                            <w:t xml:space="preserve">от ___________________ </w:t>
                          </w: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</w:t>
                          </w:r>
                          <w:r>
                            <w:t xml:space="preserve">№ __________</w:t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page;margin-left:-0.68pt;mso-position-horizontal:absolute;mso-position-vertical-relative:page;margin-top:28.53pt;mso-position-vertical:absolute;width:595.17pt;height:222.79pt;mso-wrap-distance-left:9.00pt;mso-wrap-distance-top:0.00pt;mso-wrap-distance-right:9.00pt;mso-wrap-distance-bottom:0.00pt;v-text-anchor:top;visibility:visible;" fillcolor="#FFFFFF" stroked="f">
              <v:fill opacity="-23287f"/>
              <v:textbox inset="0,0,0,0">
                <w:txbxContent>
                  <w:p>
                    <w:pPr>
                      <w:jc w:val="center"/>
                      <w:rPr>
                        <w:b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525600" cy="792000"/>
                              <wp:effectExtent l="0" t="0" r="8255" b="8255"/>
                              <wp:docPr id="2" name="Рисунок 71" descr="O:\Герб\ГЕРБ для БЛАНКО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O:\Герб\ГЕРБ для БЛАНКОВ.png"/>
                                      <pic:cNvPicPr>
                                        <a:picLocks noChangeAspect="1"/>
                                      </pic:cNvPicPr>
                                      <pic:nvPr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25600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0" o:spid="_x0000_s0" type="#_x0000_t75" style="width:41.39pt;height:62.36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>
                      <w:rPr>
                        <w:b/>
                        <w:sz w:val="36"/>
                        <w:szCs w:val="36"/>
                        <w:lang w:val="en-US"/>
                      </w:rPr>
                    </w:r>
                  </w:p>
                  <w:p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Администраци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я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города Дзержинска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Нижегородской области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jc w:val="center"/>
                      <w:spacing w:before="240" w:line="264" w:lineRule="auto"/>
                      <w:rPr>
                        <w:b/>
                        <w:sz w:val="44"/>
                        <w:szCs w:val="44"/>
                      </w:rPr>
                    </w:pPr>
                    <w:r>
                      <w:rPr>
                        <w:b/>
                        <w:sz w:val="44"/>
                        <w:szCs w:val="44"/>
                      </w:rPr>
                      <w:t xml:space="preserve">ПОСТАНОВЛЕНИЕ</w:t>
                    </w:r>
                    <w:r>
                      <w:rPr>
                        <w:b/>
                        <w:sz w:val="44"/>
                        <w:szCs w:val="44"/>
                      </w:rPr>
                    </w:r>
                  </w:p>
                  <w:p>
                    <w:pPr>
                      <w:ind w:left="1985" w:right="-796"/>
                      <w:jc w:val="center"/>
                      <w:spacing w:line="264" w:lineRule="auto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</w:r>
                    <w:r>
                      <w:rPr>
                        <w:sz w:val="15"/>
                        <w:szCs w:val="15"/>
                      </w:rPr>
                    </w:r>
                  </w:p>
                  <w:p>
                    <w:pPr>
                      <w:ind w:firstLine="1701"/>
                      <w:spacing w:before="240"/>
                      <w:tabs>
                        <w:tab w:val="left" w:pos="-1134" w:leader="none"/>
                        <w:tab w:val="left" w:pos="-851" w:leader="none"/>
                      </w:tabs>
                    </w:pPr>
                    <w:r>
                      <w:t xml:space="preserve">от ___________________ </w:t>
                    </w:r>
                    <w:r>
                      <w:rPr>
                        <w:lang w:val="en-US"/>
                      </w:rPr>
                      <w:t xml:space="preserve">                                                                </w:t>
                    </w:r>
                    <w:r>
                      <w:t xml:space="preserve">№ __________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-448310</wp:posOffset>
              </wp:positionV>
              <wp:extent cx="7560310" cy="2988310"/>
              <wp:effectExtent l="0" t="0" r="0" b="0"/>
              <wp:wrapNone/>
              <wp:docPr id="3" name="Полотно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60310" cy="2988310"/>
                        <a:chOff x="0" y="0"/>
                        <a:chExt cx="7560310" cy="2988310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0000" style="position:absolute;z-index:251657216;o:allowoverlap:true;o:allowincell:true;mso-position-horizontal-relative:text;margin-left:-85.05pt;mso-position-horizontal:absolute;mso-position-vertical-relative:text;margin-top:-35.30pt;mso-position-vertical:absolute;width:595.30pt;height:235.30pt;mso-wrap-distance-left:9.00pt;mso-wrap-distance-top:0.00pt;mso-wrap-distance-right:9.00pt;mso-wrap-distance-bottom:0.00pt;" coordorigin="0,0" coordsize="75603,29883"/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none"/>
      <w:pStyle w:val="752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3"/>
    <w:link w:val="75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9"/>
    <w:next w:val="7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9"/>
    <w:next w:val="7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3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3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3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49"/>
    <w:next w:val="74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3"/>
    <w:link w:val="34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3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3"/>
    <w:link w:val="756"/>
    <w:uiPriority w:val="99"/>
  </w:style>
  <w:style w:type="character" w:styleId="45">
    <w:name w:val="Footer Char"/>
    <w:basedOn w:val="753"/>
    <w:link w:val="757"/>
    <w:uiPriority w:val="99"/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7"/>
    <w:uiPriority w:val="99"/>
  </w:style>
  <w:style w:type="table" w:styleId="49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3"/>
    <w:uiPriority w:val="99"/>
    <w:unhideWhenUsed/>
    <w:rPr>
      <w:vertAlign w:val="superscript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3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rPr>
      <w:sz w:val="28"/>
      <w:szCs w:val="28"/>
    </w:rPr>
  </w:style>
  <w:style w:type="paragraph" w:styleId="750">
    <w:name w:val="Heading 1"/>
    <w:basedOn w:val="749"/>
    <w:next w:val="749"/>
    <w:link w:val="778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751">
    <w:name w:val="Heading 4"/>
    <w:basedOn w:val="749"/>
    <w:next w:val="749"/>
    <w:link w:val="772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52">
    <w:name w:val="Heading 8"/>
    <w:basedOn w:val="749"/>
    <w:next w:val="749"/>
    <w:link w:val="768"/>
    <w:qFormat/>
    <w:pPr>
      <w:numPr>
        <w:ilvl w:val="7"/>
        <w:numId w:val="1"/>
      </w:numPr>
      <w:keepNext/>
      <w:outlineLvl w:val="7"/>
    </w:pPr>
    <w:rPr>
      <w:b/>
      <w:bCs/>
      <w:szCs w:val="20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paragraph" w:styleId="756">
    <w:name w:val="Header"/>
    <w:basedOn w:val="749"/>
    <w:link w:val="762"/>
    <w:uiPriority w:val="99"/>
    <w:pPr>
      <w:tabs>
        <w:tab w:val="center" w:pos="4677" w:leader="none"/>
        <w:tab w:val="right" w:pos="9355" w:leader="none"/>
      </w:tabs>
    </w:pPr>
  </w:style>
  <w:style w:type="paragraph" w:styleId="757">
    <w:name w:val="Footer"/>
    <w:basedOn w:val="749"/>
    <w:link w:val="776"/>
    <w:uiPriority w:val="99"/>
    <w:pPr>
      <w:tabs>
        <w:tab w:val="center" w:pos="4677" w:leader="none"/>
        <w:tab w:val="right" w:pos="9355" w:leader="none"/>
      </w:tabs>
    </w:pPr>
  </w:style>
  <w:style w:type="table" w:styleId="758">
    <w:name w:val="Table Grid"/>
    <w:basedOn w:val="75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9">
    <w:name w:val="Hyperlink"/>
    <w:uiPriority w:val="99"/>
    <w:rPr>
      <w:color w:val="0000ff"/>
      <w:u w:val="single"/>
    </w:rPr>
  </w:style>
  <w:style w:type="paragraph" w:styleId="760">
    <w:name w:val="Balloon Text"/>
    <w:basedOn w:val="749"/>
    <w:link w:val="761"/>
    <w:rPr>
      <w:rFonts w:ascii="Tahoma" w:hAnsi="Tahoma" w:cs="Tahoma"/>
      <w:sz w:val="16"/>
      <w:szCs w:val="16"/>
    </w:rPr>
  </w:style>
  <w:style w:type="character" w:styleId="761" w:customStyle="1">
    <w:name w:val="Текст выноски Знак"/>
    <w:basedOn w:val="753"/>
    <w:link w:val="760"/>
    <w:rPr>
      <w:rFonts w:ascii="Tahoma" w:hAnsi="Tahoma" w:cs="Tahoma"/>
      <w:sz w:val="16"/>
      <w:szCs w:val="16"/>
    </w:rPr>
  </w:style>
  <w:style w:type="character" w:styleId="762" w:customStyle="1">
    <w:name w:val="Верхний колонтитул Знак"/>
    <w:basedOn w:val="753"/>
    <w:link w:val="756"/>
    <w:uiPriority w:val="99"/>
    <w:rPr>
      <w:sz w:val="28"/>
      <w:szCs w:val="28"/>
    </w:rPr>
  </w:style>
  <w:style w:type="character" w:styleId="763">
    <w:name w:val="Emphasis"/>
    <w:basedOn w:val="753"/>
    <w:qFormat/>
    <w:rPr>
      <w:i/>
      <w:iCs/>
    </w:rPr>
  </w:style>
  <w:style w:type="paragraph" w:styleId="764">
    <w:name w:val="Normal (Web)"/>
    <w:basedOn w:val="749"/>
    <w:uiPriority w:val="99"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765">
    <w:name w:val="Body Text"/>
    <w:basedOn w:val="749"/>
    <w:link w:val="766"/>
    <w:pPr>
      <w:jc w:val="center"/>
    </w:pPr>
    <w:rPr>
      <w:sz w:val="32"/>
      <w:szCs w:val="20"/>
    </w:rPr>
  </w:style>
  <w:style w:type="character" w:styleId="766" w:customStyle="1">
    <w:name w:val="Основной текст Знак"/>
    <w:basedOn w:val="753"/>
    <w:link w:val="765"/>
    <w:rPr>
      <w:sz w:val="32"/>
    </w:rPr>
  </w:style>
  <w:style w:type="paragraph" w:styleId="767" w:customStyle="1">
    <w:name w:val="Основной текст 21"/>
    <w:basedOn w:val="749"/>
    <w:pPr>
      <w:ind w:firstLine="709"/>
      <w:jc w:val="both"/>
    </w:pPr>
    <w:rPr>
      <w:rFonts w:ascii="Courier New" w:hAnsi="Courier New" w:cs="Courier New"/>
      <w:sz w:val="24"/>
      <w:szCs w:val="20"/>
    </w:rPr>
  </w:style>
  <w:style w:type="character" w:styleId="768" w:customStyle="1">
    <w:name w:val="Заголовок 8 Знак"/>
    <w:basedOn w:val="753"/>
    <w:link w:val="752"/>
    <w:rPr>
      <w:b/>
      <w:bCs/>
      <w:sz w:val="28"/>
    </w:rPr>
  </w:style>
  <w:style w:type="paragraph" w:styleId="769">
    <w:name w:val="List Paragraph"/>
    <w:basedOn w:val="749"/>
    <w:uiPriority w:val="34"/>
    <w:qFormat/>
    <w:pPr>
      <w:contextualSpacing/>
      <w:ind w:left="720"/>
    </w:pPr>
  </w:style>
  <w:style w:type="paragraph" w:styleId="77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71" w:customStyle="1">
    <w:name w:val="Table Paragraph"/>
    <w:basedOn w:val="749"/>
    <w:uiPriority w:val="1"/>
    <w:qFormat/>
    <w:pPr>
      <w:ind w:left="65"/>
      <w:widowControl w:val="off"/>
    </w:pPr>
    <w:rPr>
      <w:sz w:val="22"/>
      <w:szCs w:val="22"/>
      <w:lang w:eastAsia="en-US"/>
    </w:rPr>
  </w:style>
  <w:style w:type="character" w:styleId="772" w:customStyle="1">
    <w:name w:val="Заголовок 4 Знак"/>
    <w:basedOn w:val="753"/>
    <w:link w:val="751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773" w:customStyle="1">
    <w:name w:val="Прижатый влево"/>
    <w:basedOn w:val="749"/>
    <w:next w:val="749"/>
    <w:uiPriority w:val="99"/>
    <w:rPr>
      <w:rFonts w:ascii="Arial" w:hAnsi="Arial" w:cs="Arial"/>
      <w:sz w:val="24"/>
      <w:szCs w:val="24"/>
    </w:rPr>
  </w:style>
  <w:style w:type="character" w:styleId="774" w:customStyle="1">
    <w:name w:val="Гипертекстовая ссылка"/>
    <w:basedOn w:val="753"/>
    <w:uiPriority w:val="99"/>
    <w:rPr>
      <w:color w:val="106bbe"/>
    </w:rPr>
  </w:style>
  <w:style w:type="paragraph" w:styleId="775" w:customStyle="1">
    <w:name w:val="Нормальный (таблица)"/>
    <w:basedOn w:val="749"/>
    <w:next w:val="749"/>
    <w:uiPriority w:val="99"/>
    <w:pPr>
      <w:jc w:val="both"/>
      <w:widowControl w:val="off"/>
    </w:pPr>
    <w:rPr>
      <w:rFonts w:ascii="Arial" w:hAnsi="Arial" w:cs="Arial" w:eastAsiaTheme="minorEastAsia"/>
      <w:sz w:val="26"/>
      <w:szCs w:val="26"/>
    </w:rPr>
  </w:style>
  <w:style w:type="character" w:styleId="776" w:customStyle="1">
    <w:name w:val="Нижний колонтитул Знак"/>
    <w:basedOn w:val="753"/>
    <w:link w:val="757"/>
    <w:uiPriority w:val="99"/>
    <w:rPr>
      <w:sz w:val="28"/>
      <w:szCs w:val="28"/>
    </w:rPr>
  </w:style>
  <w:style w:type="character" w:styleId="777" w:customStyle="1">
    <w:name w:val="Цветовое выделение"/>
    <w:uiPriority w:val="99"/>
    <w:rPr>
      <w:b/>
      <w:bCs/>
      <w:color w:val="26282f"/>
    </w:rPr>
  </w:style>
  <w:style w:type="character" w:styleId="778" w:customStyle="1">
    <w:name w:val="Заголовок 1 Знак"/>
    <w:basedOn w:val="753"/>
    <w:link w:val="75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B348-AE3C-4FCB-BC36-FCCBBE29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Администрация г. Дзержинска</Company>
  <DocSecurity>0</DocSecurity>
  <HyperlinksChanged>false</HyperlinksChanged>
  <LinksUpToDate>false</LinksUpToDate>
  <ScaleCrop>false</ScaleCrop>
  <SharedDoc>false</SharedDoc>
  <Template>БЛАНК постановление адм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Мещанинова</dc:creator>
  <cp:lastModifiedBy>Кубовская О. М. Заместитель директора департамента Департамент градостроительной деятельности, строительства и охраны объектов культурного наследия</cp:lastModifiedBy>
  <cp:revision>7</cp:revision>
  <dcterms:created xsi:type="dcterms:W3CDTF">2025-12-24T09:50:00Z</dcterms:created>
  <dcterms:modified xsi:type="dcterms:W3CDTF">2025-12-25T09:53:47Z</dcterms:modified>
</cp:coreProperties>
</file>